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31"/>
        <w:jc w:val="right"/>
        <w:keepLines/>
        <w:keepNext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  <w:r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</w:rPr>
        <w:t xml:space="preserve">Приложение №1 к </w:t>
      </w:r>
      <w:r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Документации о закупке</w:t>
      </w:r>
      <w:r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r>
    </w:p>
    <w:p>
      <w:pPr>
        <w:pStyle w:val="631"/>
        <w:keepLines/>
        <w:keepNext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</w:r>
    </w:p>
    <w:p>
      <w:pPr>
        <w:pStyle w:val="631"/>
        <w:keepLines/>
        <w:keepNext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</w:r>
    </w:p>
    <w:p>
      <w:pPr>
        <w:pStyle w:val="631"/>
        <w:jc w:val="right"/>
        <w:keepLines/>
        <w:keepNext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631"/>
        <w:jc w:val="right"/>
        <w:keepLines/>
        <w:keepNext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</w:r>
      <w:r>
        <w:rPr>
          <w:rFonts w:ascii="Times New Roman" w:hAnsi="Times New Roman" w:cs="Times New Roman"/>
          <w:b/>
          <w:bCs/>
          <w:sz w:val="26"/>
          <w:szCs w:val="26"/>
        </w:rPr>
      </w:r>
    </w:p>
    <w:p>
      <w:pPr>
        <w:pStyle w:val="631"/>
        <w:jc w:val="right"/>
        <w:keepLines/>
        <w:keepNext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631"/>
        <w:keepLines/>
        <w:keepNext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</w:r>
      <w:r>
        <w:rPr>
          <w:rFonts w:ascii="Times New Roman" w:hAnsi="Times New Roman" w:cs="Times New Roman"/>
          <w:b/>
          <w:bCs/>
        </w:rPr>
      </w:r>
    </w:p>
    <w:p>
      <w:pPr>
        <w:pStyle w:val="631"/>
        <w:jc w:val="center"/>
        <w:keepLines/>
        <w:keepNext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Технические требования на оказание услуг</w:t>
      </w:r>
      <w:r>
        <w:rPr>
          <w:rFonts w:ascii="Times New Roman" w:hAnsi="Times New Roman" w:cs="Times New Roman"/>
          <w:b/>
          <w:sz w:val="26"/>
          <w:szCs w:val="26"/>
        </w:rPr>
      </w:r>
    </w:p>
    <w:p>
      <w:pPr>
        <w:pStyle w:val="631"/>
        <w:jc w:val="center"/>
        <w:rPr>
          <w:rFonts w:ascii="Times New Roman" w:hAnsi="Times New Roman" w:cs="Times New Roman"/>
          <w:bCs/>
          <w:i/>
        </w:rPr>
      </w:pPr>
      <w:r>
        <w:rPr>
          <w:rFonts w:ascii="Times New Roman" w:hAnsi="Times New Roman" w:eastAsia="Times New Roman" w:cs="Times New Roman"/>
          <w:b/>
          <w:bCs/>
          <w:i/>
          <w:iCs/>
          <w:sz w:val="24"/>
          <w:szCs w:val="24"/>
        </w:rPr>
        <w:t xml:space="preserve">«ОКПД2 71.20.12.000 Оказание услуг по продлению срока безопасной эксплуатации технологических трубопроводов, для нужд СП, расположенных в Хабаровском крае, Приморском крае, Амурской области и Республике Саха (Якутия)»</w:t>
      </w:r>
      <w:r>
        <w:rPr>
          <w:rFonts w:ascii="Times New Roman" w:hAnsi="Times New Roman" w:cs="Times New Roman"/>
          <w:bCs/>
          <w:i/>
        </w:rPr>
      </w:r>
    </w:p>
    <w:p>
      <w:pPr>
        <w:pStyle w:val="631"/>
        <w:jc w:val="center"/>
        <w:keepLines/>
        <w:keepNext/>
        <w:rPr>
          <w:rFonts w:ascii="Times New Roman" w:hAnsi="Times New Roman" w:cs="Times New Roman"/>
          <w:b/>
          <w:i/>
          <w:sz w:val="26"/>
          <w:szCs w:val="26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Лот №41005029-ЭКСП ПРОД-2026-ДГК</w:t>
      </w:r>
      <w:r>
        <w:rPr>
          <w:rFonts w:ascii="Times New Roman" w:hAnsi="Times New Roman" w:cs="Times New Roman"/>
          <w:b/>
          <w:i/>
          <w:sz w:val="26"/>
          <w:szCs w:val="26"/>
        </w:rPr>
      </w:r>
    </w:p>
    <w:p>
      <w:pPr>
        <w:pStyle w:val="631"/>
        <w:jc w:val="both"/>
        <w:keepLines/>
        <w:keepNext/>
        <w:rPr>
          <w:rFonts w:ascii="Times New Roman" w:hAnsi="Times New Roman" w:cs="Times New Roman"/>
          <w:b/>
          <w:i/>
          <w:sz w:val="26"/>
          <w:szCs w:val="26"/>
          <w:highlight w:val="yellow"/>
        </w:rPr>
      </w:pPr>
      <w:r>
        <w:rPr>
          <w:rFonts w:ascii="Times New Roman" w:hAnsi="Times New Roman" w:cs="Times New Roman"/>
          <w:b/>
          <w:i/>
          <w:sz w:val="26"/>
          <w:szCs w:val="26"/>
          <w:highlight w:val="yellow"/>
        </w:rPr>
      </w:r>
      <w:r>
        <w:rPr>
          <w:rFonts w:ascii="Times New Roman" w:hAnsi="Times New Roman" w:cs="Times New Roman"/>
          <w:b/>
          <w:i/>
          <w:sz w:val="26"/>
          <w:szCs w:val="26"/>
          <w:highlight w:val="yellow"/>
        </w:rPr>
      </w:r>
    </w:p>
    <w:p>
      <w:pPr>
        <w:pStyle w:val="631"/>
        <w:jc w:val="both"/>
        <w:keepLines/>
        <w:keepNext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63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br w:type="page" w:clear="all"/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631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eastAsia="Times New Roman" w:cs="Times New Roman"/>
          <w:b/>
        </w:rPr>
        <w:t xml:space="preserve">СОДЕРЖАНИЕ</w:t>
      </w:r>
      <w:r>
        <w:rPr>
          <w:rFonts w:ascii="Times New Roman" w:hAnsi="Times New Roman" w:cs="Times New Roman"/>
          <w:b/>
        </w:rPr>
      </w:r>
    </w:p>
    <w:sdt>
      <w:sdtPr>
        <w15:appearance w15:val="boundingBox"/>
        <w:docPartObj>
          <w:docPartGallery w:val="Table of Contents"/>
          <w:docPartUnique w:val="true"/>
        </w:docPartObj>
        <w:rPr/>
      </w:sdtPr>
      <w:sdtContent>
        <w:p>
          <w:pPr>
            <w:pStyle w:val="684"/>
            <w:tabs>
              <w:tab w:val="left" w:pos="567" w:leader="none"/>
              <w:tab w:val="clear" w:pos="708" w:leader="none"/>
              <w:tab w:val="right" w:pos="9911" w:leader="dot"/>
            </w:tabs>
            <w:rPr>
              <w:rFonts w:ascii="Times New Roman" w:hAnsi="Times New Roman" w:cs="Times New Roman"/>
              <w:caps/>
            </w:rPr>
          </w:pPr>
          <w:r>
            <w:fldChar w:fldCharType="begin"/>
          </w:r>
          <w:r>
            <w:rPr>
              <w:rStyle w:val="666"/>
              <w:rFonts w:ascii="Times New Roman" w:hAnsi="Times New Roman" w:eastAsia="Times New Roman" w:cs="Times New Roman"/>
              <w:vanish w:val="0"/>
            </w:rPr>
            <w:instrText xml:space="preserve"> TOC \z \o "1-4" \u \h</w:instrText>
          </w:r>
          <w:r>
            <w:rPr>
              <w:rStyle w:val="666"/>
              <w:rFonts w:ascii="Times New Roman" w:hAnsi="Times New Roman" w:eastAsia="Times New Roman" w:cs="Times New Roman"/>
              <w:vanish w:val="0"/>
            </w:rPr>
            <w:fldChar w:fldCharType="separate"/>
          </w:r>
          <w:hyperlink w:tooltip="#_Toc1" w:anchor="_Toc1" w:history="1">
            <w:r>
              <w:fldChar w:fldCharType="begin"/>
            </w:r>
            <w:r>
              <w:instrText xml:space="preserve">PAGEREF _Toc1 \h</w:instrText>
            </w:r>
            <w:r>
              <w:fldChar w:fldCharType="separate"/>
            </w:r>
            <w:r>
              <w:rPr>
                <w:rStyle w:val="666"/>
                <w:rFonts w:ascii="Times New Roman" w:hAnsi="Times New Roman" w:eastAsia="Times New Roman" w:cs="Times New Roman"/>
                <w:vanish w:val="0"/>
              </w:rPr>
              <w:t xml:space="preserve">1.</w:t>
              <w:tab/>
              <w:t xml:space="preserve">Общие сведения</w:t>
              <w:tab/>
              <w:t xml:space="preserve">4</w:t>
            </w:r>
            <w:r>
              <w:fldChar w:fldCharType="end"/>
            </w:r>
          </w:hyperlink>
          <w:r/>
          <w:r>
            <w:rPr>
              <w:rFonts w:ascii="Times New Roman" w:hAnsi="Times New Roman" w:cs="Times New Roman"/>
              <w:caps/>
            </w:rPr>
          </w:r>
        </w:p>
        <w:p>
          <w:pPr>
            <w:pStyle w:val="687"/>
            <w:tabs>
              <w:tab w:val="clear" w:pos="708" w:leader="none"/>
              <w:tab w:val="left" w:pos="1417" w:leader="none"/>
              <w:tab w:val="right" w:pos="9911" w:leader="dot"/>
            </w:tabs>
            <w:rPr>
              <w:rFonts w:ascii="Times New Roman" w:hAnsi="Times New Roman" w:cs="Times New Roman"/>
            </w:rPr>
          </w:pPr>
          <w:r/>
          <w:hyperlink w:tooltip="#_Toc2" w:anchor="_Toc2" w:history="1">
            <w:r>
              <w:fldChar w:fldCharType="begin"/>
            </w:r>
            <w:r>
              <w:instrText xml:space="preserve">PAGEREF _Toc2 \h</w:instrText>
            </w:r>
            <w:r>
              <w:fldChar w:fldCharType="separate"/>
            </w:r>
            <w:r>
              <w:rPr>
                <w:rStyle w:val="666"/>
                <w:rFonts w:ascii="Times New Roman" w:hAnsi="Times New Roman" w:eastAsia="Times New Roman" w:cs="Times New Roman"/>
                <w:vanish w:val="0"/>
              </w:rPr>
              <w:t xml:space="preserve">1.1.</w:t>
              <w:tab/>
              <w:t xml:space="preserve">Обозначения и сокращения</w:t>
              <w:tab/>
              <w:t xml:space="preserve">4</w:t>
            </w:r>
            <w:r>
              <w:fldChar w:fldCharType="end"/>
            </w:r>
          </w:hyperlink>
          <w:r/>
          <w:r>
            <w:rPr>
              <w:rFonts w:ascii="Times New Roman" w:hAnsi="Times New Roman" w:cs="Times New Roman"/>
            </w:rPr>
          </w:r>
        </w:p>
        <w:p>
          <w:pPr>
            <w:pStyle w:val="687"/>
            <w:tabs>
              <w:tab w:val="clear" w:pos="708" w:leader="none"/>
              <w:tab w:val="left" w:pos="1417" w:leader="none"/>
              <w:tab w:val="right" w:pos="9911" w:leader="dot"/>
            </w:tabs>
            <w:rPr>
              <w:rFonts w:ascii="Times New Roman" w:hAnsi="Times New Roman" w:cs="Times New Roman"/>
            </w:rPr>
          </w:pPr>
          <w:r/>
          <w:hyperlink w:tooltip="#_Toc3" w:anchor="_Toc3" w:history="1">
            <w:r>
              <w:fldChar w:fldCharType="begin"/>
            </w:r>
            <w:r>
              <w:instrText xml:space="preserve">PAGEREF _Toc3 \h</w:instrText>
            </w:r>
            <w:r>
              <w:fldChar w:fldCharType="separate"/>
            </w:r>
            <w:r>
              <w:rPr>
                <w:rStyle w:val="666"/>
                <w:rFonts w:ascii="Times New Roman" w:hAnsi="Times New Roman" w:eastAsia="Times New Roman" w:cs="Times New Roman"/>
                <w:vanish w:val="0"/>
              </w:rPr>
              <w:t xml:space="preserve">1.2.</w:t>
              <w:tab/>
              <w:t xml:space="preserve">Наименование закупаемой продукции</w:t>
              <w:tab/>
              <w:t xml:space="preserve">5</w:t>
            </w:r>
            <w:r>
              <w:fldChar w:fldCharType="end"/>
            </w:r>
          </w:hyperlink>
          <w:r/>
          <w:r>
            <w:rPr>
              <w:rFonts w:ascii="Times New Roman" w:hAnsi="Times New Roman" w:cs="Times New Roman"/>
            </w:rPr>
          </w:r>
        </w:p>
        <w:p>
          <w:pPr>
            <w:pStyle w:val="687"/>
            <w:tabs>
              <w:tab w:val="clear" w:pos="708" w:leader="none"/>
              <w:tab w:val="left" w:pos="1417" w:leader="none"/>
              <w:tab w:val="right" w:pos="9911" w:leader="dot"/>
            </w:tabs>
            <w:rPr>
              <w:rFonts w:ascii="Times New Roman" w:hAnsi="Times New Roman" w:cs="Times New Roman"/>
            </w:rPr>
          </w:pPr>
          <w:r/>
          <w:hyperlink w:tooltip="#_Toc4" w:anchor="_Toc4" w:history="1">
            <w:r>
              <w:fldChar w:fldCharType="begin"/>
            </w:r>
            <w:r>
              <w:instrText xml:space="preserve">PAGEREF _Toc4 \h</w:instrText>
            </w:r>
            <w:r>
              <w:fldChar w:fldCharType="separate"/>
            </w:r>
            <w:r>
              <w:rPr>
                <w:rStyle w:val="666"/>
                <w:rFonts w:ascii="Times New Roman" w:hAnsi="Times New Roman" w:eastAsia="Times New Roman" w:cs="Times New Roman"/>
                <w:vanish w:val="0"/>
              </w:rPr>
              <w:t xml:space="preserve">1.3.</w:t>
              <w:tab/>
              <w:t xml:space="preserve">Цель оказания услуг</w:t>
              <w:tab/>
              <w:t xml:space="preserve">5</w:t>
            </w:r>
            <w:r>
              <w:fldChar w:fldCharType="end"/>
            </w:r>
          </w:hyperlink>
          <w:r/>
          <w:r>
            <w:rPr>
              <w:rFonts w:ascii="Times New Roman" w:hAnsi="Times New Roman" w:cs="Times New Roman"/>
            </w:rPr>
          </w:r>
        </w:p>
        <w:p>
          <w:pPr>
            <w:pStyle w:val="687"/>
            <w:tabs>
              <w:tab w:val="clear" w:pos="708" w:leader="none"/>
              <w:tab w:val="left" w:pos="1417" w:leader="none"/>
              <w:tab w:val="right" w:pos="9911" w:leader="dot"/>
            </w:tabs>
            <w:rPr>
              <w:rFonts w:ascii="Times New Roman" w:hAnsi="Times New Roman" w:cs="Times New Roman"/>
            </w:rPr>
          </w:pPr>
          <w:r/>
          <w:hyperlink w:tooltip="#_Toc5" w:anchor="_Toc5" w:history="1">
            <w:r>
              <w:fldChar w:fldCharType="begin"/>
            </w:r>
            <w:r>
              <w:instrText xml:space="preserve">PAGEREF _Toc5 \h</w:instrText>
            </w:r>
            <w:r>
              <w:fldChar w:fldCharType="separate"/>
            </w:r>
            <w:r>
              <w:rPr>
                <w:rStyle w:val="666"/>
                <w:rFonts w:ascii="Times New Roman" w:hAnsi="Times New Roman" w:eastAsia="Times New Roman" w:cs="Times New Roman"/>
                <w:vanish w:val="0"/>
              </w:rPr>
              <w:t xml:space="preserve">1.4.</w:t>
              <w:tab/>
              <w:t xml:space="preserve">Существующее положение</w:t>
              <w:tab/>
              <w:t xml:space="preserve">5</w:t>
            </w:r>
            <w:r>
              <w:fldChar w:fldCharType="end"/>
            </w:r>
          </w:hyperlink>
          <w:r/>
          <w:r>
            <w:rPr>
              <w:rFonts w:ascii="Times New Roman" w:hAnsi="Times New Roman" w:cs="Times New Roman"/>
            </w:rPr>
          </w:r>
        </w:p>
        <w:p>
          <w:pPr>
            <w:pStyle w:val="684"/>
            <w:tabs>
              <w:tab w:val="clear" w:pos="708" w:leader="none"/>
              <w:tab w:val="right" w:pos="9911" w:leader="dot"/>
            </w:tabs>
            <w:rPr>
              <w:rFonts w:ascii="Times New Roman" w:hAnsi="Times New Roman" w:cs="Times New Roman"/>
            </w:rPr>
          </w:pPr>
          <w:r/>
          <w:hyperlink w:tooltip="#_Toc6" w:anchor="_Toc6" w:history="1">
            <w:r>
              <w:fldChar w:fldCharType="begin"/>
            </w:r>
            <w:r>
              <w:instrText xml:space="preserve">PAGEREF _Toc6 \h</w:instrText>
            </w:r>
            <w:r>
              <w:fldChar w:fldCharType="separate"/>
            </w:r>
            <w:r>
              <w:rPr>
                <w:rStyle w:val="666"/>
                <w:rFonts w:ascii="Times New Roman" w:hAnsi="Times New Roman" w:eastAsia="Times New Roman" w:cs="Times New Roman"/>
                <w:vanish w:val="0"/>
              </w:rPr>
              <w:t xml:space="preserve">Таблица 1.1. Перечень объектов заказчика</w:t>
              <w:tab/>
              <w:t xml:space="preserve">5</w:t>
            </w:r>
            <w:r>
              <w:fldChar w:fldCharType="end"/>
            </w:r>
          </w:hyperlink>
          <w:r/>
          <w:r>
            <w:rPr>
              <w:rFonts w:ascii="Times New Roman" w:hAnsi="Times New Roman" w:cs="Times New Roman"/>
            </w:rPr>
          </w:r>
        </w:p>
        <w:p>
          <w:pPr>
            <w:pStyle w:val="684"/>
            <w:tabs>
              <w:tab w:val="clear" w:pos="708" w:leader="none"/>
              <w:tab w:val="right" w:pos="9911" w:leader="dot"/>
            </w:tabs>
            <w:rPr>
              <w:rFonts w:ascii="Times New Roman" w:hAnsi="Times New Roman" w:cs="Times New Roman"/>
            </w:rPr>
          </w:pPr>
          <w:r/>
          <w:hyperlink w:tooltip="#_Toc7" w:anchor="_Toc7" w:history="1">
            <w:r>
              <w:fldChar w:fldCharType="begin"/>
            </w:r>
            <w:r>
              <w:instrText xml:space="preserve">PAGEREF _Toc7 \h</w:instrText>
            </w:r>
            <w:r>
              <w:fldChar w:fldCharType="separate"/>
            </w:r>
            <w:r>
              <w:rPr>
                <w:rStyle w:val="666"/>
                <w:rFonts w:ascii="Times New Roman" w:hAnsi="Times New Roman" w:eastAsia="Times New Roman" w:cs="Times New Roman"/>
                <w:vanish w:val="0"/>
              </w:rPr>
              <w:t xml:space="preserve">Таблица 1.2. Наименование объектов заказчика</w:t>
              <w:tab/>
              <w:t xml:space="preserve">7</w:t>
            </w:r>
            <w:r>
              <w:fldChar w:fldCharType="end"/>
            </w:r>
          </w:hyperlink>
          <w:r/>
          <w:r>
            <w:rPr>
              <w:rFonts w:ascii="Times New Roman" w:hAnsi="Times New Roman" w:cs="Times New Roman"/>
            </w:rPr>
          </w:r>
        </w:p>
        <w:p>
          <w:pPr>
            <w:pStyle w:val="684"/>
            <w:tabs>
              <w:tab w:val="left" w:pos="567" w:leader="none"/>
              <w:tab w:val="clear" w:pos="708" w:leader="none"/>
              <w:tab w:val="right" w:pos="9911" w:leader="dot"/>
            </w:tabs>
            <w:rPr>
              <w:rFonts w:ascii="Times New Roman" w:hAnsi="Times New Roman" w:cs="Times New Roman"/>
              <w:iCs/>
              <w:caps/>
            </w:rPr>
          </w:pPr>
          <w:r/>
          <w:hyperlink w:tooltip="#_Toc8" w:anchor="_Toc8" w:history="1">
            <w:r>
              <w:rPr>
                <w:rStyle w:val="666"/>
                <w:rFonts w:ascii="Times New Roman" w:hAnsi="Times New Roman" w:eastAsia="Times New Roman" w:cs="Times New Roman"/>
                <w:vanish w:val="0"/>
              </w:rPr>
              <w:t xml:space="preserve">2.</w:t>
              <w:tab/>
            </w:r>
            <w:r>
              <w:rPr>
                <w:rStyle w:val="666"/>
                <w:rFonts w:ascii="Times New Roman" w:hAnsi="Times New Roman" w:eastAsia="Times New Roman" w:cs="Times New Roman"/>
                <w:iCs/>
              </w:rPr>
              <w:t xml:space="preserve">Требования к продукции</w:t>
            </w:r>
            <w:r>
              <w:fldChar w:fldCharType="begin"/>
            </w:r>
            <w:r>
              <w:instrText xml:space="preserve">PAGEREF _Toc8 \h</w:instrText>
            </w:r>
            <w:r>
              <w:fldChar w:fldCharType="separate"/>
            </w:r>
            <w:r>
              <w:rPr>
                <w:rStyle w:val="666"/>
                <w:rFonts w:ascii="Times New Roman" w:hAnsi="Times New Roman" w:eastAsia="Times New Roman" w:cs="Times New Roman"/>
              </w:rPr>
              <w:tab/>
              <w:t xml:space="preserve">11</w:t>
            </w:r>
            <w:r>
              <w:fldChar w:fldCharType="end"/>
            </w:r>
          </w:hyperlink>
          <w:r/>
          <w:r>
            <w:rPr>
              <w:rFonts w:ascii="Times New Roman" w:hAnsi="Times New Roman" w:cs="Times New Roman"/>
              <w:iCs/>
              <w:caps/>
            </w:rPr>
          </w:r>
        </w:p>
        <w:p>
          <w:pPr>
            <w:pStyle w:val="687"/>
            <w:tabs>
              <w:tab w:val="clear" w:pos="708" w:leader="none"/>
              <w:tab w:val="left" w:pos="1417" w:leader="none"/>
              <w:tab w:val="right" w:pos="9911" w:leader="dot"/>
            </w:tabs>
            <w:rPr>
              <w:rFonts w:ascii="Times New Roman" w:hAnsi="Times New Roman" w:cs="Times New Roman"/>
            </w:rPr>
          </w:pPr>
          <w:r/>
          <w:hyperlink w:tooltip="#_Toc9" w:anchor="_Toc9" w:history="1">
            <w:r>
              <w:fldChar w:fldCharType="begin"/>
            </w:r>
            <w:r>
              <w:instrText xml:space="preserve">PAGEREF _Toc9 \h</w:instrText>
            </w:r>
            <w:r>
              <w:fldChar w:fldCharType="separate"/>
            </w:r>
            <w:r>
              <w:rPr>
                <w:rStyle w:val="666"/>
                <w:rFonts w:ascii="Times New Roman" w:hAnsi="Times New Roman" w:eastAsia="Times New Roman" w:cs="Times New Roman"/>
                <w:vanish w:val="0"/>
              </w:rPr>
              <w:t xml:space="preserve">2.1.</w:t>
              <w:tab/>
              <w:t xml:space="preserve">Требования к объемам и срокам оказания услуг</w:t>
              <w:tab/>
              <w:t xml:space="preserve">11</w:t>
            </w:r>
            <w:r>
              <w:fldChar w:fldCharType="end"/>
            </w:r>
          </w:hyperlink>
          <w:r/>
          <w:r>
            <w:rPr>
              <w:rFonts w:ascii="Times New Roman" w:hAnsi="Times New Roman" w:cs="Times New Roman"/>
            </w:rPr>
          </w:r>
        </w:p>
        <w:p>
          <w:pPr>
            <w:pStyle w:val="686"/>
            <w:tabs>
              <w:tab w:val="clear" w:pos="708" w:leader="none"/>
              <w:tab w:val="left" w:pos="1134" w:leader="none"/>
              <w:tab w:val="right" w:pos="9911" w:leader="dot"/>
            </w:tabs>
            <w:rPr>
              <w:rFonts w:ascii="Times New Roman" w:hAnsi="Times New Roman" w:cs="Times New Roman"/>
            </w:rPr>
          </w:pPr>
          <w:r/>
          <w:hyperlink w:tooltip="#_Toc10" w:anchor="_Toc10" w:history="1">
            <w:r>
              <w:fldChar w:fldCharType="begin"/>
            </w:r>
            <w:r>
              <w:instrText xml:space="preserve">PAGEREF _Toc10 \h</w:instrText>
            </w:r>
            <w:r>
              <w:fldChar w:fldCharType="separate"/>
            </w:r>
            <w:r>
              <w:rPr>
                <w:rStyle w:val="666"/>
                <w:rFonts w:ascii="Times New Roman" w:hAnsi="Times New Roman" w:eastAsia="Times New Roman" w:cs="Times New Roman"/>
                <w:vanish w:val="0"/>
              </w:rPr>
              <w:t xml:space="preserve">2.1.1.</w:t>
              <w:tab/>
              <w:t xml:space="preserve">Требования к перечню и объему услуг</w:t>
              <w:tab/>
              <w:t xml:space="preserve">11</w:t>
            </w:r>
            <w:r>
              <w:fldChar w:fldCharType="end"/>
            </w:r>
          </w:hyperlink>
          <w:r/>
          <w:r>
            <w:rPr>
              <w:rFonts w:ascii="Times New Roman" w:hAnsi="Times New Roman" w:cs="Times New Roman"/>
            </w:rPr>
          </w:r>
        </w:p>
        <w:p>
          <w:pPr>
            <w:pStyle w:val="684"/>
            <w:tabs>
              <w:tab w:val="clear" w:pos="708" w:leader="none"/>
              <w:tab w:val="right" w:pos="9911" w:leader="dot"/>
            </w:tabs>
            <w:rPr>
              <w:rFonts w:ascii="Times New Roman" w:hAnsi="Times New Roman" w:cs="Times New Roman"/>
            </w:rPr>
          </w:pPr>
          <w:r/>
          <w:hyperlink w:tooltip="#_Toc11" w:anchor="_Toc11" w:history="1">
            <w:r>
              <w:fldChar w:fldCharType="begin"/>
            </w:r>
            <w:r>
              <w:instrText xml:space="preserve">PAGEREF _Toc11 \h</w:instrText>
            </w:r>
            <w:r>
              <w:fldChar w:fldCharType="separate"/>
            </w:r>
            <w:r>
              <w:rPr>
                <w:rStyle w:val="666"/>
                <w:rFonts w:ascii="Times New Roman" w:hAnsi="Times New Roman" w:eastAsia="Times New Roman" w:cs="Times New Roman"/>
                <w:vanish w:val="0"/>
              </w:rPr>
              <w:t xml:space="preserve">Таблица 2. Перечень и объем оказываемых услуг</w:t>
              <w:tab/>
              <w:t xml:space="preserve">11</w:t>
            </w:r>
            <w:r>
              <w:fldChar w:fldCharType="end"/>
            </w:r>
          </w:hyperlink>
          <w:r/>
          <w:r>
            <w:rPr>
              <w:rFonts w:ascii="Times New Roman" w:hAnsi="Times New Roman" w:cs="Times New Roman"/>
            </w:rPr>
          </w:r>
        </w:p>
        <w:p>
          <w:pPr>
            <w:pStyle w:val="686"/>
            <w:tabs>
              <w:tab w:val="clear" w:pos="708" w:leader="none"/>
              <w:tab w:val="left" w:pos="1134" w:leader="none"/>
              <w:tab w:val="right" w:pos="9911" w:leader="dot"/>
            </w:tabs>
            <w:rPr>
              <w:rFonts w:ascii="Times New Roman" w:hAnsi="Times New Roman" w:cs="Times New Roman"/>
            </w:rPr>
          </w:pPr>
          <w:r/>
          <w:hyperlink w:tooltip="#_Toc12" w:anchor="_Toc12" w:history="1">
            <w:r>
              <w:fldChar w:fldCharType="begin"/>
            </w:r>
            <w:r>
              <w:instrText xml:space="preserve">PAGEREF _Toc12 \h</w:instrText>
            </w:r>
            <w:r>
              <w:fldChar w:fldCharType="separate"/>
            </w:r>
            <w:r>
              <w:rPr>
                <w:rStyle w:val="666"/>
                <w:rFonts w:ascii="Times New Roman" w:hAnsi="Times New Roman" w:eastAsia="Times New Roman" w:cs="Times New Roman"/>
                <w:vanish w:val="0"/>
              </w:rPr>
              <w:t xml:space="preserve">2.1.2.</w:t>
              <w:tab/>
              <w:t xml:space="preserve">Требования к срокам оказания услуг</w:t>
              <w:tab/>
              <w:t xml:space="preserve">12</w:t>
            </w:r>
            <w:r>
              <w:fldChar w:fldCharType="end"/>
            </w:r>
          </w:hyperlink>
          <w:r/>
          <w:r>
            <w:rPr>
              <w:rFonts w:ascii="Times New Roman" w:hAnsi="Times New Roman" w:cs="Times New Roman"/>
            </w:rPr>
          </w:r>
        </w:p>
        <w:p>
          <w:pPr>
            <w:pStyle w:val="684"/>
            <w:tabs>
              <w:tab w:val="clear" w:pos="708" w:leader="none"/>
              <w:tab w:val="right" w:pos="9911" w:leader="dot"/>
            </w:tabs>
            <w:rPr>
              <w:rFonts w:ascii="Times New Roman" w:hAnsi="Times New Roman" w:cs="Times New Roman"/>
            </w:rPr>
          </w:pPr>
          <w:r/>
          <w:hyperlink w:tooltip="#_Toc13" w:anchor="_Toc13" w:history="1">
            <w:r>
              <w:fldChar w:fldCharType="begin"/>
            </w:r>
            <w:r>
              <w:instrText xml:space="preserve">PAGEREF _Toc13 \h</w:instrText>
            </w:r>
            <w:r>
              <w:fldChar w:fldCharType="separate"/>
            </w:r>
            <w:r>
              <w:rPr>
                <w:rStyle w:val="666"/>
                <w:rFonts w:ascii="Times New Roman" w:hAnsi="Times New Roman" w:eastAsia="Times New Roman" w:cs="Times New Roman"/>
                <w:vanish w:val="0"/>
              </w:rPr>
              <w:t xml:space="preserve">Таблица 3. Требования к срокам оказания услуг</w:t>
              <w:tab/>
              <w:t xml:space="preserve">12</w:t>
            </w:r>
            <w:r>
              <w:fldChar w:fldCharType="end"/>
            </w:r>
          </w:hyperlink>
          <w:r/>
          <w:r>
            <w:rPr>
              <w:rFonts w:ascii="Times New Roman" w:hAnsi="Times New Roman" w:cs="Times New Roman"/>
            </w:rPr>
          </w:r>
        </w:p>
        <w:p>
          <w:pPr>
            <w:pStyle w:val="687"/>
            <w:tabs>
              <w:tab w:val="clear" w:pos="708" w:leader="none"/>
              <w:tab w:val="left" w:pos="1417" w:leader="none"/>
              <w:tab w:val="right" w:pos="9911" w:leader="dot"/>
            </w:tabs>
            <w:rPr>
              <w:rFonts w:ascii="Times New Roman" w:hAnsi="Times New Roman" w:cs="Times New Roman"/>
            </w:rPr>
          </w:pPr>
          <w:r/>
          <w:hyperlink w:tooltip="#_Toc14" w:anchor="_Toc14" w:history="1">
            <w:r>
              <w:fldChar w:fldCharType="begin"/>
            </w:r>
            <w:r>
              <w:instrText xml:space="preserve">PAGEREF _Toc14 \h</w:instrText>
            </w:r>
            <w:r>
              <w:fldChar w:fldCharType="separate"/>
            </w:r>
            <w:r>
              <w:rPr>
                <w:rStyle w:val="666"/>
                <w:rFonts w:ascii="Times New Roman" w:hAnsi="Times New Roman" w:eastAsia="Times New Roman" w:cs="Times New Roman"/>
                <w:vanish w:val="0"/>
              </w:rPr>
              <w:t xml:space="preserve">2.2.</w:t>
              <w:tab/>
              <w:t xml:space="preserve">Требования к качеству продукции</w:t>
              <w:tab/>
              <w:t xml:space="preserve">17</w:t>
            </w:r>
            <w:r>
              <w:fldChar w:fldCharType="end"/>
            </w:r>
          </w:hyperlink>
          <w:r/>
          <w:r>
            <w:rPr>
              <w:rFonts w:ascii="Times New Roman" w:hAnsi="Times New Roman" w:cs="Times New Roman"/>
            </w:rPr>
          </w:r>
        </w:p>
        <w:p>
          <w:pPr>
            <w:pStyle w:val="684"/>
            <w:tabs>
              <w:tab w:val="clear" w:pos="708" w:leader="none"/>
              <w:tab w:val="right" w:pos="9911" w:leader="dot"/>
            </w:tabs>
            <w:rPr>
              <w:rFonts w:ascii="Times New Roman" w:hAnsi="Times New Roman" w:cs="Times New Roman"/>
            </w:rPr>
          </w:pPr>
          <w:r/>
          <w:hyperlink w:tooltip="#_Toc15" w:anchor="_Toc15" w:history="1">
            <w:r>
              <w:fldChar w:fldCharType="begin"/>
            </w:r>
            <w:r>
              <w:instrText xml:space="preserve">PAGEREF _Toc15 \h</w:instrText>
            </w:r>
            <w:r>
              <w:fldChar w:fldCharType="separate"/>
            </w:r>
            <w:r>
              <w:rPr>
                <w:rStyle w:val="666"/>
                <w:rFonts w:ascii="Times New Roman" w:hAnsi="Times New Roman" w:eastAsia="Times New Roman" w:cs="Times New Roman"/>
                <w:vanish w:val="0"/>
              </w:rPr>
              <w:t xml:space="preserve">Таблица 4. Требования к качеству продукции</w:t>
              <w:tab/>
              <w:t xml:space="preserve">17</w:t>
            </w:r>
            <w:r>
              <w:fldChar w:fldCharType="end"/>
            </w:r>
          </w:hyperlink>
          <w:r/>
          <w:r>
            <w:rPr>
              <w:rFonts w:ascii="Times New Roman" w:hAnsi="Times New Roman" w:cs="Times New Roman"/>
            </w:rPr>
          </w:r>
        </w:p>
        <w:p>
          <w:pPr>
            <w:pStyle w:val="686"/>
            <w:tabs>
              <w:tab w:val="clear" w:pos="708" w:leader="none"/>
              <w:tab w:val="left" w:pos="1134" w:leader="none"/>
              <w:tab w:val="right" w:pos="9911" w:leader="dot"/>
            </w:tabs>
            <w:rPr>
              <w:rFonts w:ascii="Times New Roman" w:hAnsi="Times New Roman" w:cs="Times New Roman"/>
            </w:rPr>
          </w:pPr>
          <w:r/>
          <w:hyperlink w:tooltip="#_Toc16" w:anchor="_Toc16" w:history="1">
            <w:r>
              <w:rPr>
                <w:rStyle w:val="666"/>
                <w:rFonts w:ascii="Times New Roman" w:hAnsi="Times New Roman" w:eastAsia="Times New Roman" w:cs="Times New Roman"/>
                <w:vanish w:val="0"/>
              </w:rPr>
              <w:t xml:space="preserve">2.2.1.</w:t>
              <w:tab/>
            </w:r>
            <w:r>
              <w:rPr>
                <w:rStyle w:val="666"/>
                <w:rFonts w:ascii="Times New Roman" w:hAnsi="Times New Roman" w:eastAsia="Times New Roman" w:cs="Times New Roman"/>
                <w:i/>
              </w:rPr>
              <w:t xml:space="preserve"> </w:t>
            </w:r>
            <w:r>
              <w:fldChar w:fldCharType="begin"/>
            </w:r>
            <w:r>
              <w:instrText xml:space="preserve">PAGEREF _Toc16 \h</w:instrText>
            </w:r>
            <w:r>
              <w:fldChar w:fldCharType="separate"/>
            </w:r>
            <w:r>
              <w:rPr>
                <w:rStyle w:val="666"/>
                <w:rFonts w:ascii="Times New Roman" w:hAnsi="Times New Roman" w:eastAsia="Times New Roman" w:cs="Times New Roman"/>
              </w:rPr>
              <w:t xml:space="preserve">В составе заявки необходимо предоставить:</w:t>
              <w:tab/>
              <w:t xml:space="preserve">19</w:t>
            </w:r>
            <w:r>
              <w:fldChar w:fldCharType="end"/>
            </w:r>
          </w:hyperlink>
          <w:r/>
          <w:r>
            <w:rPr>
              <w:rFonts w:ascii="Times New Roman" w:hAnsi="Times New Roman" w:cs="Times New Roman"/>
            </w:rPr>
          </w:r>
        </w:p>
        <w:p>
          <w:pPr>
            <w:pStyle w:val="684"/>
            <w:tabs>
              <w:tab w:val="left" w:pos="567" w:leader="none"/>
              <w:tab w:val="clear" w:pos="708" w:leader="none"/>
              <w:tab w:val="right" w:pos="9911" w:leader="dot"/>
            </w:tabs>
            <w:rPr>
              <w:rFonts w:ascii="Times New Roman" w:hAnsi="Times New Roman" w:cs="Times New Roman"/>
            </w:rPr>
          </w:pPr>
          <w:r/>
          <w:hyperlink w:tooltip="#_Toc17" w:anchor="_Toc17" w:history="1">
            <w:r>
              <w:fldChar w:fldCharType="begin"/>
            </w:r>
            <w:r>
              <w:instrText xml:space="preserve">PAGEREF _Toc17 \h</w:instrText>
            </w:r>
            <w:r>
              <w:fldChar w:fldCharType="separate"/>
            </w:r>
            <w:r>
              <w:rPr>
                <w:rStyle w:val="666"/>
                <w:rFonts w:ascii="Times New Roman" w:hAnsi="Times New Roman" w:eastAsia="Times New Roman" w:cs="Times New Roman"/>
                <w:vanish w:val="0"/>
              </w:rPr>
              <w:t xml:space="preserve">3.</w:t>
              <w:tab/>
              <w:t xml:space="preserve">Требования к документации по ценообразованию на этапе закупки</w:t>
              <w:tab/>
              <w:t xml:space="preserve">20</w:t>
            </w:r>
            <w:r>
              <w:fldChar w:fldCharType="end"/>
            </w:r>
          </w:hyperlink>
          <w:r/>
          <w:r>
            <w:rPr>
              <w:rFonts w:ascii="Times New Roman" w:hAnsi="Times New Roman" w:cs="Times New Roman"/>
            </w:rPr>
          </w:r>
        </w:p>
        <w:p>
          <w:pPr>
            <w:pStyle w:val="684"/>
            <w:tabs>
              <w:tab w:val="left" w:pos="567" w:leader="none"/>
              <w:tab w:val="clear" w:pos="708" w:leader="none"/>
              <w:tab w:val="right" w:pos="9911" w:leader="dot"/>
            </w:tabs>
            <w:rPr>
              <w:rFonts w:ascii="Times New Roman" w:hAnsi="Times New Roman" w:cs="Times New Roman"/>
            </w:rPr>
          </w:pPr>
          <w:r/>
          <w:hyperlink w:tooltip="#_Toc18" w:anchor="_Toc18" w:history="1">
            <w:r>
              <w:fldChar w:fldCharType="begin"/>
            </w:r>
            <w:r>
              <w:instrText xml:space="preserve">PAGEREF _Toc18 \h</w:instrText>
            </w:r>
            <w:r>
              <w:fldChar w:fldCharType="separate"/>
            </w:r>
            <w:r>
              <w:rPr>
                <w:rStyle w:val="666"/>
                <w:rFonts w:ascii="Times New Roman" w:hAnsi="Times New Roman" w:eastAsia="Times New Roman" w:cs="Times New Roman"/>
                <w:vanish w:val="0"/>
              </w:rPr>
              <w:t xml:space="preserve">4.</w:t>
              <w:tab/>
              <w:t xml:space="preserve">Требования к документации по ценообразованию на этапе заключения (исполнения) договора</w:t>
              <w:tab/>
              <w:t xml:space="preserve">21</w:t>
            </w:r>
            <w:r>
              <w:fldChar w:fldCharType="end"/>
            </w:r>
          </w:hyperlink>
          <w:r/>
          <w:r>
            <w:rPr>
              <w:rFonts w:ascii="Times New Roman" w:hAnsi="Times New Roman" w:cs="Times New Roman"/>
            </w:rPr>
          </w:r>
        </w:p>
        <w:p>
          <w:pPr>
            <w:pStyle w:val="684"/>
            <w:tabs>
              <w:tab w:val="left" w:pos="567" w:leader="none"/>
              <w:tab w:val="clear" w:pos="708" w:leader="none"/>
              <w:tab w:val="right" w:pos="9911" w:leader="dot"/>
            </w:tabs>
            <w:rPr>
              <w:rFonts w:ascii="Times New Roman" w:hAnsi="Times New Roman" w:cs="Times New Roman"/>
              <w:iCs/>
              <w:caps/>
            </w:rPr>
          </w:pPr>
          <w:r/>
          <w:hyperlink w:tooltip="#_Toc19" w:anchor="_Toc19" w:history="1">
            <w:r>
              <w:rPr>
                <w:rStyle w:val="666"/>
                <w:rFonts w:ascii="Times New Roman" w:hAnsi="Times New Roman" w:eastAsia="Times New Roman" w:cs="Times New Roman"/>
                <w:vanish w:val="0"/>
              </w:rPr>
              <w:t xml:space="preserve">5.</w:t>
              <w:tab/>
            </w:r>
            <w:r>
              <w:rPr>
                <w:rStyle w:val="666"/>
                <w:rFonts w:ascii="Times New Roman" w:hAnsi="Times New Roman" w:eastAsia="Times New Roman" w:cs="Times New Roman"/>
                <w:iCs/>
              </w:rPr>
              <w:t xml:space="preserve">Приложения</w:t>
            </w:r>
            <w:r>
              <w:fldChar w:fldCharType="begin"/>
            </w:r>
            <w:r>
              <w:instrText xml:space="preserve">PAGEREF _Toc19 \h</w:instrText>
            </w:r>
            <w:r>
              <w:fldChar w:fldCharType="separate"/>
            </w:r>
            <w:r>
              <w:rPr>
                <w:rStyle w:val="666"/>
                <w:rFonts w:ascii="Times New Roman" w:hAnsi="Times New Roman" w:eastAsia="Times New Roman" w:cs="Times New Roman"/>
              </w:rPr>
              <w:tab/>
              <w:t xml:space="preserve">22</w:t>
            </w:r>
            <w:r>
              <w:fldChar w:fldCharType="end"/>
            </w:r>
          </w:hyperlink>
          <w:r/>
          <w:r>
            <w:rPr>
              <w:rFonts w:ascii="Times New Roman" w:hAnsi="Times New Roman" w:cs="Times New Roman"/>
              <w:iCs/>
              <w:caps/>
            </w:rPr>
          </w:r>
        </w:p>
        <w:p>
          <w:pPr>
            <w:pStyle w:val="684"/>
            <w:tabs>
              <w:tab w:val="clear" w:pos="708" w:leader="none"/>
              <w:tab w:val="right" w:pos="9911" w:leader="dot"/>
            </w:tabs>
            <w:rPr>
              <w:rFonts w:ascii="Times New Roman" w:hAnsi="Times New Roman" w:cs="Times New Roman"/>
            </w:rPr>
          </w:pPr>
          <w:r/>
          <w:hyperlink w:tooltip="#_Toc20" w:anchor="_Toc20" w:history="1">
            <w:r>
              <w:fldChar w:fldCharType="begin"/>
            </w:r>
            <w:r>
              <w:instrText xml:space="preserve">PAGEREF _Toc20 \h</w:instrText>
            </w:r>
            <w:r>
              <w:fldChar w:fldCharType="separate"/>
            </w:r>
            <w:r>
              <w:rPr>
                <w:rStyle w:val="666"/>
                <w:rFonts w:ascii="Times New Roman" w:hAnsi="Times New Roman" w:eastAsia="Times New Roman" w:cs="Times New Roman"/>
                <w:vanish w:val="0"/>
              </w:rPr>
              <w:t xml:space="preserve">Требования к оформлению и составлению документации по ценообразованию</w:t>
              <w:tab/>
              <w:t xml:space="preserve">23</w:t>
            </w:r>
            <w:r>
              <w:fldChar w:fldCharType="end"/>
            </w:r>
          </w:hyperlink>
          <w:r>
            <w:rPr>
              <w:rStyle w:val="666"/>
              <w:rFonts w:ascii="Times New Roman" w:hAnsi="Times New Roman" w:eastAsia="Times New Roman" w:cs="Times New Roman"/>
              <w:vanish w:val="0"/>
            </w:rPr>
            <w:fldChar w:fldCharType="end"/>
          </w:r>
          <w:r>
            <w:rPr>
              <w:rFonts w:ascii="Times New Roman" w:hAnsi="Times New Roman" w:cs="Times New Roman"/>
            </w:rPr>
          </w:r>
        </w:p>
      </w:sdtContent>
    </w:sdt>
    <w:p>
      <w:pPr>
        <w:pStyle w:val="633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</w:r>
      <w:r>
        <w:rPr>
          <w:rFonts w:ascii="Times New Roman" w:hAnsi="Times New Roman" w:cs="Times New Roman"/>
          <w:i/>
        </w:rPr>
      </w:r>
    </w:p>
    <w:p>
      <w:pPr>
        <w:pStyle w:val="631"/>
        <w:jc w:val="center"/>
        <w:keepLines/>
        <w:keepNext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</w:r>
      <w:r>
        <w:br w:type="page" w:clear="all"/>
      </w:r>
      <w:r>
        <w:rPr>
          <w:rFonts w:ascii="Times New Roman" w:hAnsi="Times New Roman" w:cs="Times New Roman"/>
          <w:b/>
          <w:i/>
          <w:sz w:val="24"/>
          <w:szCs w:val="24"/>
        </w:rPr>
      </w:r>
    </w:p>
    <w:p>
      <w:pPr>
        <w:pStyle w:val="632"/>
        <w:numPr>
          <w:ilvl w:val="0"/>
          <w:numId w:val="3"/>
        </w:numPr>
        <w:jc w:val="center"/>
        <w:rPr>
          <w:rFonts w:ascii="Times New Roman" w:hAnsi="Times New Roman" w:cs="Times New Roman"/>
          <w:caps/>
        </w:rPr>
      </w:pPr>
      <w:r/>
      <w:bookmarkStart w:id="0" w:name="undefined"/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Общие сведения</w:t>
      </w:r>
      <w:bookmarkEnd w:id="0"/>
      <w:r/>
      <w:r>
        <w:rPr>
          <w:rFonts w:ascii="Times New Roman" w:hAnsi="Times New Roman" w:cs="Times New Roman"/>
          <w:caps/>
        </w:rPr>
      </w:r>
    </w:p>
    <w:p>
      <w:pPr>
        <w:pStyle w:val="6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1.1 </w:t>
      </w:r>
      <w:bookmarkStart w:id="1" w:name="undefined_Копия_1"/>
      <w:r>
        <w:rPr>
          <w:rFonts w:ascii="Times New Roman" w:hAnsi="Times New Roman" w:eastAsia="Times New Roman" w:cs="Times New Roman"/>
          <w:sz w:val="24"/>
          <w:szCs w:val="24"/>
        </w:rPr>
        <w:t xml:space="preserve">Обозначения и сокращения</w:t>
      </w:r>
      <w:bookmarkEnd w:id="1"/>
      <w:r/>
      <w:r>
        <w:rPr>
          <w:rFonts w:ascii="Times New Roman" w:hAnsi="Times New Roman" w:cs="Times New Roman"/>
          <w:sz w:val="24"/>
          <w:szCs w:val="24"/>
        </w:rPr>
      </w:r>
    </w:p>
    <w:tbl>
      <w:tblPr>
        <w:tblW w:w="9783" w:type="dxa"/>
        <w:jc w:val="center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1785"/>
        <w:gridCol w:w="7997"/>
      </w:tblGrid>
      <w:tr>
        <w:tblPrEx/>
        <w:trPr>
          <w:cantSplit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85" w:type="dxa"/>
            <w:textDirection w:val="lrTb"/>
            <w:noWrap w:val="false"/>
          </w:tcPr>
          <w:p>
            <w:pPr>
              <w:pStyle w:val="631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ЭПБ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97" w:type="dxa"/>
            <w:textDirection w:val="lrTb"/>
            <w:noWrap w:val="false"/>
          </w:tcPr>
          <w:p>
            <w:pPr>
              <w:pStyle w:val="631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Экспертиза промышленной безопасности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cantSplit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85" w:type="dxa"/>
            <w:textDirection w:val="lrTb"/>
            <w:noWrap w:val="false"/>
          </w:tcPr>
          <w:p>
            <w:pPr>
              <w:pStyle w:val="631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НТД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97" w:type="dxa"/>
            <w:textDirection w:val="lrTb"/>
            <w:noWrap w:val="false"/>
          </w:tcPr>
          <w:p>
            <w:pPr>
              <w:pStyle w:val="631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Нормативно-техническая документация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85" w:type="dxa"/>
            <w:textDirection w:val="lrTb"/>
            <w:noWrap w:val="false"/>
          </w:tcPr>
          <w:p>
            <w:pPr>
              <w:pStyle w:val="631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ЗиС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97" w:type="dxa"/>
            <w:textDirection w:val="lrTb"/>
            <w:noWrap w:val="false"/>
          </w:tcPr>
          <w:p>
            <w:pPr>
              <w:pStyle w:val="631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Здания и сооружения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85" w:type="dxa"/>
            <w:textDirection w:val="lrTb"/>
            <w:noWrap w:val="false"/>
          </w:tcPr>
          <w:p>
            <w:pPr>
              <w:pStyle w:val="631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97" w:type="dxa"/>
            <w:textDirection w:val="lrTb"/>
            <w:noWrap w:val="false"/>
          </w:tcPr>
          <w:p>
            <w:pPr>
              <w:pStyle w:val="631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Свод правил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pStyle w:val="631"/>
        <w:jc w:val="both"/>
        <w:keepLines/>
        <w:keepNext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31"/>
        <w:jc w:val="both"/>
        <w:keepLines/>
        <w:keepNext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31"/>
        <w:keepLines/>
        <w:keepNext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br w:type="page" w:clear="all"/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35"/>
        <w:ind w:firstLine="709"/>
        <w:tabs>
          <w:tab w:val="clear" w:pos="708" w:leader="none"/>
          <w:tab w:val="left" w:pos="1134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1.2 Наименование закупаемой продукции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31"/>
        <w:ind w:firstLine="709"/>
        <w:jc w:val="both"/>
        <w:widowControl w:val="off"/>
        <w:tabs>
          <w:tab w:val="left" w:pos="426" w:leader="none"/>
          <w:tab w:val="clear" w:pos="708" w:leader="none"/>
        </w:tabs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i/>
          <w:iCs/>
          <w:sz w:val="24"/>
          <w:szCs w:val="24"/>
        </w:rPr>
        <w:t xml:space="preserve">ОКПД2 71.20.12.000 Оказание услуг по продлению срока безопасной эксплуатации технологических трубопроводов, для нужд СП, расположенных в Хабаровском крае, Приморском крае, Амурской области и Республике Саха (Якутия)</w:t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t xml:space="preserve">.</w:t>
      </w:r>
      <w:r>
        <w:rPr>
          <w:rFonts w:ascii="Times New Roman" w:hAnsi="Times New Roman" w:cs="Times New Roman"/>
          <w:i/>
          <w:iCs/>
          <w:sz w:val="24"/>
          <w:szCs w:val="24"/>
        </w:rPr>
      </w:r>
    </w:p>
    <w:p>
      <w:pPr>
        <w:pStyle w:val="635"/>
        <w:ind w:firstLine="709"/>
        <w:spacing w:before="240" w:after="200"/>
        <w:tabs>
          <w:tab w:val="clear" w:pos="708" w:leader="none"/>
          <w:tab w:val="left" w:pos="1134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1.3 Цель оказания услуг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31"/>
        <w:ind w:firstLine="709"/>
        <w:jc w:val="both"/>
        <w:widowControl w:val="off"/>
        <w:tabs>
          <w:tab w:val="left" w:pos="426" w:leader="none"/>
          <w:tab w:val="clear" w:pos="708" w:leader="none"/>
        </w:tabs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t xml:space="preserve">Целью оказания услуг является оценка</w:t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t xml:space="preserve"> соответствия объектов Заказчика, предъявляемых к ним требованиям промышленной безопасности, согласно Федерального закона 21.07.1997 №116-ФЗ «О промышленной безопасности опасных производственных объектов» и иным нормативно-правовым актам Российской Федерац</w:t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t xml:space="preserve">ии. Определение фактического состояния оборудования, достаточности и надежности, разработанных и реализованных мер по обеспечению требований промышленной безопасности, расчет остаточного ресурса и оценка возможности продления срока безопасной эксплуатации.</w:t>
      </w:r>
      <w:r>
        <w:rPr>
          <w:rFonts w:ascii="Times New Roman" w:hAnsi="Times New Roman" w:cs="Times New Roman"/>
          <w:i/>
          <w:iCs/>
          <w:sz w:val="24"/>
          <w:szCs w:val="24"/>
        </w:rPr>
      </w:r>
    </w:p>
    <w:p>
      <w:pPr>
        <w:pStyle w:val="635"/>
        <w:ind w:firstLine="709"/>
        <w:spacing w:before="0" w:after="0"/>
        <w:tabs>
          <w:tab w:val="clear" w:pos="708" w:leader="none"/>
          <w:tab w:val="left" w:pos="1134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1.4 Существующее положение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31"/>
        <w:ind w:firstLine="709"/>
        <w:jc w:val="both"/>
        <w:widowControl w:val="off"/>
        <w:tabs>
          <w:tab w:val="left" w:pos="426" w:leader="none"/>
          <w:tab w:val="clear" w:pos="708" w:leader="none"/>
        </w:tabs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t xml:space="preserve">Оказание услуг производится для нужд структурных подразделений Заказчика по адресам:</w:t>
      </w:r>
      <w:r>
        <w:rPr>
          <w:rFonts w:ascii="Times New Roman" w:hAnsi="Times New Roman" w:cs="Times New Roman"/>
          <w:bCs/>
          <w:i/>
          <w:sz w:val="24"/>
          <w:szCs w:val="24"/>
        </w:rPr>
      </w:r>
    </w:p>
    <w:p>
      <w:pPr>
        <w:pStyle w:val="631"/>
        <w:jc w:val="both"/>
        <w:tabs>
          <w:tab w:val="left" w:pos="426" w:leader="none"/>
          <w:tab w:val="clear" w:pos="708" w:leader="none"/>
          <w:tab w:val="left" w:pos="992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СП «Благовещенская ТЭЦ» (БлТЭЦ) - 675000 Амурская область, г. Благовещенск, ул. Загородная 177;</w:t>
      </w:r>
      <w:r>
        <w:rPr>
          <w:rFonts w:ascii="Times New Roman" w:hAnsi="Times New Roman"/>
          <w:sz w:val="24"/>
          <w:szCs w:val="24"/>
        </w:rPr>
      </w:r>
    </w:p>
    <w:p>
      <w:pPr>
        <w:pStyle w:val="631"/>
        <w:jc w:val="both"/>
        <w:tabs>
          <w:tab w:val="left" w:pos="426" w:leader="none"/>
          <w:tab w:val="clear" w:pos="708" w:leader="none"/>
          <w:tab w:val="left" w:pos="992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СП «Нерюнгринская ГРЭС» (НГРЭС) - 678995, Республика Саха (Якутия), п. Серебряный Бор, промышленная зона;</w:t>
      </w:r>
      <w:r>
        <w:rPr>
          <w:rFonts w:ascii="Times New Roman" w:hAnsi="Times New Roman"/>
          <w:sz w:val="24"/>
          <w:szCs w:val="24"/>
        </w:rPr>
      </w:r>
    </w:p>
    <w:p>
      <w:pPr>
        <w:pStyle w:val="631"/>
        <w:jc w:val="both"/>
        <w:tabs>
          <w:tab w:val="left" w:pos="426" w:leader="none"/>
          <w:tab w:val="clear" w:pos="708" w:leader="none"/>
          <w:tab w:val="left" w:pos="992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СП «Николаевская ТЭЦ» (НТЭЦ) - 682469 Хабаровский кр., г. Николаевск-на-Амуре, ул. Невельского, 24А;</w:t>
      </w:r>
      <w:r>
        <w:rPr>
          <w:rFonts w:ascii="Times New Roman" w:hAnsi="Times New Roman"/>
          <w:sz w:val="24"/>
          <w:szCs w:val="24"/>
        </w:rPr>
      </w:r>
    </w:p>
    <w:p>
      <w:pPr>
        <w:pStyle w:val="631"/>
        <w:jc w:val="both"/>
        <w:tabs>
          <w:tab w:val="left" w:pos="426" w:leader="none"/>
          <w:tab w:val="clear" w:pos="708" w:leader="none"/>
          <w:tab w:val="left" w:pos="992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i/>
          <w:iCs/>
          <w:color w:val="000000"/>
          <w:sz w:val="24"/>
          <w:szCs w:val="24"/>
        </w:rPr>
        <w:t xml:space="preserve">СП «ТЭЦ Восточная» (ТЭЦ Восточная) - 690074, Приморский край, г. Владивосток, ул.Снеговая, 22;</w:t>
      </w:r>
      <w:r>
        <w:rPr>
          <w:rFonts w:ascii="Times New Roman" w:hAnsi="Times New Roman"/>
          <w:sz w:val="24"/>
          <w:szCs w:val="24"/>
        </w:rPr>
      </w:r>
    </w:p>
    <w:p>
      <w:pPr>
        <w:pStyle w:val="631"/>
        <w:jc w:val="both"/>
        <w:widowControl w:val="off"/>
        <w:tabs>
          <w:tab w:val="left" w:pos="426" w:leader="none"/>
          <w:tab w:val="clear" w:pos="708" w:leader="none"/>
          <w:tab w:val="left" w:pos="992" w:leader="none"/>
          <w:tab w:val="left" w:pos="1134" w:leader="none"/>
        </w:tabs>
        <w:rPr>
          <w:rFonts w:ascii="Times New Roman" w:hAnsi="Times New Roman" w:cs="Times New Roman"/>
          <w:bCs/>
          <w:i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i/>
          <w:color w:val="000000"/>
          <w:sz w:val="24"/>
          <w:szCs w:val="24"/>
        </w:rPr>
      </w:r>
      <w:r>
        <w:rPr>
          <w:rFonts w:ascii="Times New Roman" w:hAnsi="Times New Roman" w:cs="Times New Roman"/>
          <w:bCs/>
          <w:i/>
          <w:color w:val="000000"/>
          <w:sz w:val="24"/>
          <w:szCs w:val="24"/>
        </w:rPr>
      </w:r>
    </w:p>
    <w:p>
      <w:pPr>
        <w:pStyle w:val="631"/>
        <w:ind w:firstLine="709"/>
        <w:jc w:val="both"/>
        <w:widowControl w:val="off"/>
        <w:tabs>
          <w:tab w:val="left" w:pos="426" w:leader="none"/>
          <w:tab w:val="clear" w:pos="708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t xml:space="preserve">Общий перечень объектов для оказания услуг, указан в Таблице 1.1. «Перечень объектов заказчика»: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32"/>
        <w:spacing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32"/>
        <w:spacing w:before="0" w:after="0"/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Таблица 1.1. Перечень объектов заказчика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</w:rPr>
      </w:r>
    </w:p>
    <w:p>
      <w:pPr>
        <w:pStyle w:val="632"/>
        <w:spacing w:before="0" w:after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</w:rPr>
      </w:r>
    </w:p>
    <w:p>
      <w:pPr>
        <w:pStyle w:val="632"/>
        <w:spacing w:before="0" w:after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tbl>
      <w:tblPr>
        <w:tblW w:w="9870" w:type="dxa"/>
        <w:jc w:val="center"/>
        <w:tblInd w:w="0" w:type="dxa"/>
        <w:tblLayout w:type="fixed"/>
        <w:tblCellMar>
          <w:left w:w="57" w:type="dxa"/>
          <w:top w:w="0" w:type="dxa"/>
          <w:right w:w="57" w:type="dxa"/>
          <w:bottom w:w="0" w:type="dxa"/>
        </w:tblCellMar>
        <w:tblLook w:val="04A0" w:firstRow="1" w:lastRow="0" w:firstColumn="1" w:lastColumn="0" w:noHBand="0" w:noVBand="1"/>
      </w:tblPr>
      <w:tblGrid>
        <w:gridCol w:w="707"/>
        <w:gridCol w:w="1670"/>
        <w:gridCol w:w="5417"/>
        <w:gridCol w:w="2075"/>
      </w:tblGrid>
      <w:tr>
        <w:tblPrEx/>
        <w:trPr>
          <w:tblHeader/>
        </w:trPr>
        <w:tc>
          <w:tcPr>
            <w:shd w:val="clear" w:color="ffffff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pStyle w:val="631"/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№ </w:t>
            </w:r>
            <w:r>
              <w:rPr>
                <w:rFonts w:ascii="Times New Roman" w:hAnsi="Times New Roman"/>
              </w:rPr>
              <w:t xml:space="preserve">п/п</w:t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ffffff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</w:tcBorders>
            <w:tcW w:w="1670" w:type="dxa"/>
            <w:vAlign w:val="center"/>
            <w:textDirection w:val="lrTb"/>
            <w:noWrap w:val="false"/>
          </w:tcPr>
          <w:p>
            <w:pPr>
              <w:pStyle w:val="631"/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Наименование СП</w:t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ffffff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</w:tcBorders>
            <w:tcW w:w="5417" w:type="dxa"/>
            <w:vAlign w:val="center"/>
            <w:textDirection w:val="lrTb"/>
            <w:noWrap w:val="false"/>
          </w:tcPr>
          <w:p>
            <w:pPr>
              <w:pStyle w:val="631"/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Наименование объектов</w:t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ffffff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2075" w:type="dxa"/>
            <w:vAlign w:val="center"/>
            <w:textDirection w:val="lrTb"/>
            <w:noWrap w:val="false"/>
          </w:tcPr>
          <w:p>
            <w:pPr>
              <w:pStyle w:val="631"/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типоразмер</w:t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ffffff" w:fill="ffffff"/>
            <w:tcBorders>
              <w:left w:val="single" w:color="000000" w:sz="8" w:space="0"/>
              <w:bottom w:val="single" w:color="000000" w:sz="8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pStyle w:val="697"/>
              <w:numPr>
                <w:ilvl w:val="0"/>
                <w:numId w:val="4"/>
              </w:numPr>
              <w:contextualSpacing/>
              <w:ind w:left="0" w:firstLine="0"/>
              <w:jc w:val="center"/>
              <w:spacing w:before="0" w:after="200"/>
              <w:widowControl w:val="off"/>
              <w:tabs>
                <w:tab w:val="left" w:pos="283" w:leader="none"/>
                <w:tab w:val="clear" w:pos="708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ffffff" w:fill="ffffff"/>
            <w:tcBorders>
              <w:left w:val="single" w:color="000000" w:sz="8" w:space="0"/>
              <w:bottom w:val="single" w:color="000000" w:sz="8" w:space="0"/>
            </w:tcBorders>
            <w:tcW w:w="1670" w:type="dxa"/>
            <w:vAlign w:val="center"/>
            <w:textDirection w:val="lrTb"/>
            <w:noWrap w:val="false"/>
          </w:tcPr>
          <w:p>
            <w:pPr>
              <w:pStyle w:val="631"/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</w:rPr>
              <w:t xml:space="preserve">БТЭЦ</w:t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ffffff" w:fill="ffffff"/>
            <w:tcBorders>
              <w:left w:val="single" w:color="000000" w:sz="8" w:space="0"/>
              <w:bottom w:val="single" w:color="000000" w:sz="8" w:space="0"/>
            </w:tcBorders>
            <w:tcW w:w="5417" w:type="dxa"/>
            <w:vAlign w:val="center"/>
            <w:textDirection w:val="lrTb"/>
            <w:noWrap w:val="false"/>
          </w:tcPr>
          <w:p>
            <w:pPr>
              <w:pStyle w:val="631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</w:rPr>
              <w:t xml:space="preserve">Трубопровод азота от ресивера до главного корпуса</w:t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ffffff" w:fill="ffffff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2075" w:type="dxa"/>
            <w:vAlign w:val="center"/>
            <w:textDirection w:val="lrTb"/>
            <w:noWrap w:val="false"/>
          </w:tcPr>
          <w:p>
            <w:pPr>
              <w:pStyle w:val="631"/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</w:rPr>
              <w:t xml:space="preserve">57х4, 370 м</w:t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ffffff" w:fill="ffffff"/>
            <w:tcBorders>
              <w:left w:val="single" w:color="000000" w:sz="8" w:space="0"/>
              <w:bottom w:val="single" w:color="000000" w:sz="8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pStyle w:val="697"/>
              <w:numPr>
                <w:ilvl w:val="0"/>
                <w:numId w:val="4"/>
              </w:numPr>
              <w:contextualSpacing/>
              <w:ind w:left="0" w:firstLine="0"/>
              <w:jc w:val="center"/>
              <w:spacing w:before="0" w:after="200"/>
              <w:widowControl w:val="off"/>
              <w:tabs>
                <w:tab w:val="left" w:pos="283" w:leader="none"/>
                <w:tab w:val="left" w:pos="425" w:leader="none"/>
                <w:tab w:val="clear" w:pos="708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ffffff" w:fill="ffffff"/>
            <w:tcBorders>
              <w:left w:val="single" w:color="000000" w:sz="8" w:space="0"/>
              <w:bottom w:val="single" w:color="000000" w:sz="8" w:space="0"/>
            </w:tcBorders>
            <w:tcW w:w="1670" w:type="dxa"/>
            <w:vAlign w:val="center"/>
            <w:textDirection w:val="lrTb"/>
            <w:noWrap w:val="false"/>
          </w:tcPr>
          <w:p>
            <w:pPr>
              <w:pStyle w:val="631"/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</w:rPr>
              <w:t xml:space="preserve">БТЭЦ</w:t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ffffff" w:fill="ffffff"/>
            <w:tcBorders>
              <w:left w:val="single" w:color="000000" w:sz="8" w:space="0"/>
              <w:bottom w:val="single" w:color="000000" w:sz="8" w:space="0"/>
            </w:tcBorders>
            <w:tcW w:w="5417" w:type="dxa"/>
            <w:vAlign w:val="center"/>
            <w:textDirection w:val="lrTb"/>
            <w:noWrap w:val="false"/>
          </w:tcPr>
          <w:p>
            <w:pPr>
              <w:pStyle w:val="631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</w:rPr>
              <w:t xml:space="preserve">Трубопровод азота от ресивера до электролизной</w:t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ffffff" w:fill="ffffff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2075" w:type="dxa"/>
            <w:vAlign w:val="center"/>
            <w:textDirection w:val="lrTb"/>
            <w:noWrap w:val="false"/>
          </w:tcPr>
          <w:p>
            <w:pPr>
              <w:pStyle w:val="631"/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</w:rPr>
              <w:t xml:space="preserve">57х4, 300 м</w:t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ffffff" w:fill="ffffff"/>
            <w:tcBorders>
              <w:left w:val="single" w:color="000000" w:sz="8" w:space="0"/>
              <w:bottom w:val="single" w:color="000000" w:sz="8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pStyle w:val="697"/>
              <w:numPr>
                <w:ilvl w:val="0"/>
                <w:numId w:val="4"/>
              </w:numPr>
              <w:contextualSpacing/>
              <w:ind w:left="0" w:firstLine="0"/>
              <w:jc w:val="center"/>
              <w:spacing w:before="0" w:after="200"/>
              <w:widowControl w:val="off"/>
              <w:tabs>
                <w:tab w:val="left" w:pos="283" w:leader="none"/>
                <w:tab w:val="clear" w:pos="708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ffffff" w:fill="ffffff"/>
            <w:tcBorders>
              <w:left w:val="single" w:color="000000" w:sz="8" w:space="0"/>
              <w:bottom w:val="single" w:color="000000" w:sz="8" w:space="0"/>
            </w:tcBorders>
            <w:tcW w:w="1670" w:type="dxa"/>
            <w:vAlign w:val="center"/>
            <w:textDirection w:val="lrTb"/>
            <w:noWrap w:val="false"/>
          </w:tcPr>
          <w:p>
            <w:pPr>
              <w:pStyle w:val="631"/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</w:rPr>
              <w:t xml:space="preserve">БТЭЦ</w:t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ffffff" w:fill="ffffff"/>
            <w:tcBorders>
              <w:left w:val="single" w:color="000000" w:sz="8" w:space="0"/>
              <w:bottom w:val="single" w:color="000000" w:sz="8" w:space="0"/>
            </w:tcBorders>
            <w:tcW w:w="5417" w:type="dxa"/>
            <w:vAlign w:val="center"/>
            <w:textDirection w:val="lrTb"/>
            <w:noWrap w:val="false"/>
          </w:tcPr>
          <w:p>
            <w:pPr>
              <w:pStyle w:val="631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</w:rPr>
              <w:t xml:space="preserve">Трубопровод слива (налива) топлива в резервуары хранения дизельного топлива (с разработкой паспорта и руководства по эксплуатации)</w:t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ffffff" w:fill="ffffff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2075" w:type="dxa"/>
            <w:vAlign w:val="center"/>
            <w:textDirection w:val="lrTb"/>
            <w:noWrap w:val="false"/>
          </w:tcPr>
          <w:p>
            <w:pPr>
              <w:pStyle w:val="631"/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</w:rPr>
              <w:t xml:space="preserve">57х4, 22,5 м</w:t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ffffff" w:fill="ffffff"/>
            <w:tcBorders>
              <w:left w:val="single" w:color="000000" w:sz="8" w:space="0"/>
              <w:bottom w:val="single" w:color="000000" w:sz="8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pStyle w:val="697"/>
              <w:numPr>
                <w:ilvl w:val="0"/>
                <w:numId w:val="4"/>
              </w:numPr>
              <w:contextualSpacing/>
              <w:ind w:left="0" w:firstLine="0"/>
              <w:jc w:val="center"/>
              <w:spacing w:before="0" w:after="200"/>
              <w:shd w:val="clear" w:color="ffffff" w:themeColor="background1" w:fill="ffffff" w:themeFill="background1"/>
              <w:widowControl w:val="off"/>
              <w:tabs>
                <w:tab w:val="left" w:pos="283" w:leader="none"/>
                <w:tab w:val="clear" w:pos="708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ffffff" w:fill="ffffff"/>
            <w:tcBorders>
              <w:left w:val="single" w:color="000000" w:sz="8" w:space="0"/>
              <w:bottom w:val="single" w:color="000000" w:sz="8" w:space="0"/>
            </w:tcBorders>
            <w:tcW w:w="1670" w:type="dxa"/>
            <w:vAlign w:val="center"/>
            <w:textDirection w:val="lrTb"/>
            <w:noWrap w:val="false"/>
          </w:tcPr>
          <w:p>
            <w:pPr>
              <w:pStyle w:val="631"/>
              <w:jc w:val="center"/>
              <w:shd w:val="clear" w:color="ffffff" w:themeColor="background1" w:fill="ffffff" w:themeFill="background1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</w:rPr>
              <w:t xml:space="preserve">НТЭЦ</w:t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ffffff" w:fill="ffffff"/>
            <w:tcBorders>
              <w:left w:val="single" w:color="000000" w:sz="8" w:space="0"/>
              <w:bottom w:val="single" w:color="000000" w:sz="8" w:space="0"/>
            </w:tcBorders>
            <w:tcW w:w="5417" w:type="dxa"/>
            <w:vAlign w:val="center"/>
            <w:textDirection w:val="lrTb"/>
            <w:noWrap w:val="false"/>
          </w:tcPr>
          <w:p>
            <w:pPr>
              <w:pStyle w:val="631"/>
              <w:shd w:val="clear" w:color="ffffff" w:themeColor="background1" w:fill="ffffff" w:themeFill="background1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Трубопровод дизельного топлива на расходные ёмкости, с разработкой паспорта</w:t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ffffff" w:fill="ffffff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2075" w:type="dxa"/>
            <w:vAlign w:val="center"/>
            <w:textDirection w:val="lrTb"/>
            <w:noWrap w:val="false"/>
          </w:tcPr>
          <w:p>
            <w:pPr>
              <w:pStyle w:val="631"/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32х3,5, 170 м </w:t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ffffff" w:fill="ffffff"/>
            <w:tcBorders>
              <w:left w:val="single" w:color="000000" w:sz="8" w:space="0"/>
              <w:bottom w:val="single" w:color="000000" w:sz="8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pStyle w:val="697"/>
              <w:numPr>
                <w:ilvl w:val="0"/>
                <w:numId w:val="4"/>
              </w:numPr>
              <w:contextualSpacing/>
              <w:ind w:left="0" w:firstLine="0"/>
              <w:jc w:val="center"/>
              <w:spacing w:before="0" w:after="200"/>
              <w:shd w:val="clear" w:color="ffffff" w:themeColor="background1" w:fill="ffffff" w:themeFill="background1"/>
              <w:widowControl w:val="off"/>
              <w:tabs>
                <w:tab w:val="left" w:pos="283" w:leader="none"/>
                <w:tab w:val="clear" w:pos="708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ffffff" w:fill="ffffff"/>
            <w:tcBorders>
              <w:left w:val="single" w:color="000000" w:sz="8" w:space="0"/>
              <w:bottom w:val="single" w:color="000000" w:sz="8" w:space="0"/>
            </w:tcBorders>
            <w:tcW w:w="1670" w:type="dxa"/>
            <w:vAlign w:val="center"/>
            <w:textDirection w:val="lrTb"/>
            <w:noWrap w:val="false"/>
          </w:tcPr>
          <w:p>
            <w:pPr>
              <w:pStyle w:val="631"/>
              <w:jc w:val="center"/>
              <w:shd w:val="clear" w:color="ffffff" w:themeColor="background1" w:fill="ffffff" w:themeFill="background1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</w:rPr>
              <w:t xml:space="preserve">НТЭЦ</w:t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ffffff" w:fill="ffffff"/>
            <w:tcBorders>
              <w:left w:val="single" w:color="000000" w:sz="8" w:space="0"/>
              <w:bottom w:val="single" w:color="000000" w:sz="8" w:space="0"/>
            </w:tcBorders>
            <w:tcW w:w="5417" w:type="dxa"/>
            <w:vAlign w:val="center"/>
            <w:textDirection w:val="lrTb"/>
            <w:noWrap w:val="false"/>
          </w:tcPr>
          <w:p>
            <w:pPr>
              <w:pStyle w:val="631"/>
              <w:shd w:val="clear" w:color="ffffff" w:themeColor="background1" w:fill="ffffff" w:themeFill="background1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Трубопровод дизельного топлива от расходной ёмкости к дизелям, с разработкой паспорта</w:t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ffffff" w:fill="ffffff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2075" w:type="dxa"/>
            <w:vAlign w:val="center"/>
            <w:textDirection w:val="lrTb"/>
            <w:noWrap w:val="false"/>
          </w:tcPr>
          <w:p>
            <w:pPr>
              <w:pStyle w:val="631"/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20-3,5, 10 м</w:t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ffffff" w:fill="ffffff"/>
            <w:tcBorders>
              <w:left w:val="single" w:color="000000" w:sz="8" w:space="0"/>
              <w:bottom w:val="single" w:color="000000" w:sz="8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pStyle w:val="697"/>
              <w:numPr>
                <w:ilvl w:val="0"/>
                <w:numId w:val="4"/>
              </w:numPr>
              <w:contextualSpacing/>
              <w:ind w:left="0" w:firstLine="0"/>
              <w:jc w:val="center"/>
              <w:spacing w:before="0" w:after="200"/>
              <w:widowControl w:val="off"/>
              <w:tabs>
                <w:tab w:val="left" w:pos="283" w:leader="none"/>
                <w:tab w:val="clear" w:pos="708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ffffff" w:fill="ffffff"/>
            <w:tcBorders>
              <w:left w:val="single" w:color="000000" w:sz="8" w:space="0"/>
              <w:bottom w:val="single" w:color="000000" w:sz="8" w:space="0"/>
            </w:tcBorders>
            <w:tcW w:w="1670" w:type="dxa"/>
            <w:vAlign w:val="center"/>
            <w:textDirection w:val="lrTb"/>
            <w:noWrap w:val="false"/>
          </w:tcPr>
          <w:p>
            <w:pPr>
              <w:pStyle w:val="631"/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ХТЭЦ-3</w:t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ffffff" w:fill="ffffff"/>
            <w:tcBorders>
              <w:left w:val="single" w:color="000000" w:sz="8" w:space="0"/>
              <w:bottom w:val="single" w:color="000000" w:sz="8" w:space="0"/>
            </w:tcBorders>
            <w:tcW w:w="5417" w:type="dxa"/>
            <w:vAlign w:val="center"/>
            <w:textDirection w:val="lrTb"/>
            <w:noWrap w:val="false"/>
          </w:tcPr>
          <w:p>
            <w:pPr>
              <w:pStyle w:val="631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t xml:space="preserve">Трубопровод углекислого газа от углекислотной до парка рессиверов и ТГВ, рег. № Т-49 (с изготовлением паспорта)</w:t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ffffff" w:fill="ffffff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2075" w:type="dxa"/>
            <w:vAlign w:val="center"/>
            <w:textDirection w:val="lrTb"/>
            <w:noWrap w:val="false"/>
          </w:tcPr>
          <w:p>
            <w:pPr>
              <w:pStyle w:val="631"/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</w:rPr>
              <w:t xml:space="preserve">57 х 3,5, 244 м</w:t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ffffff" w:fill="ffffff"/>
            <w:tcBorders>
              <w:left w:val="single" w:color="000000" w:sz="8" w:space="0"/>
              <w:bottom w:val="single" w:color="000000" w:sz="8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pStyle w:val="697"/>
              <w:numPr>
                <w:ilvl w:val="0"/>
                <w:numId w:val="4"/>
              </w:numPr>
              <w:contextualSpacing/>
              <w:ind w:left="0" w:firstLine="0"/>
              <w:jc w:val="center"/>
              <w:spacing w:before="0" w:after="200"/>
              <w:widowControl w:val="off"/>
              <w:tabs>
                <w:tab w:val="left" w:pos="283" w:leader="none"/>
                <w:tab w:val="clear" w:pos="708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ffffff" w:fill="ffffff"/>
            <w:tcBorders>
              <w:left w:val="single" w:color="000000" w:sz="8" w:space="0"/>
              <w:bottom w:val="single" w:color="000000" w:sz="8" w:space="0"/>
            </w:tcBorders>
            <w:tcW w:w="1670" w:type="dxa"/>
            <w:vAlign w:val="center"/>
            <w:textDirection w:val="lrTb"/>
            <w:noWrap w:val="false"/>
          </w:tcPr>
          <w:p>
            <w:pPr>
              <w:pStyle w:val="631"/>
              <w:jc w:val="center"/>
              <w:shd w:val="clear" w:color="ffffff" w:themeColor="background1" w:fill="ffffff" w:themeFill="background1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НТЭЦ</w:t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ffffff" w:fill="ffffff"/>
            <w:tcBorders>
              <w:left w:val="single" w:color="000000" w:sz="8" w:space="0"/>
              <w:bottom w:val="single" w:color="000000" w:sz="8" w:space="0"/>
            </w:tcBorders>
            <w:tcW w:w="5417" w:type="dxa"/>
            <w:vAlign w:val="center"/>
            <w:textDirection w:val="lrTb"/>
            <w:noWrap w:val="false"/>
          </w:tcPr>
          <w:p>
            <w:pPr>
              <w:pStyle w:val="631"/>
              <w:shd w:val="clear" w:color="ffffff" w:themeColor="background1" w:fill="ffffff" w:themeFill="background1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Трубопровод маслостанции РВП котлов 2 очереди, с разработкой паспорта</w:t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ffffff" w:fill="ffffff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2075" w:type="dxa"/>
            <w:vAlign w:val="center"/>
            <w:textDirection w:val="lrTb"/>
            <w:noWrap w:val="false"/>
          </w:tcPr>
          <w:p>
            <w:pPr>
              <w:pStyle w:val="631"/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32х3,5, 136 м.</w:t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ffffff" w:fill="ffffff"/>
            <w:tcBorders>
              <w:left w:val="single" w:color="000000" w:sz="8" w:space="0"/>
              <w:bottom w:val="single" w:color="000000" w:sz="8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pStyle w:val="697"/>
              <w:numPr>
                <w:ilvl w:val="0"/>
                <w:numId w:val="4"/>
              </w:numPr>
              <w:contextualSpacing/>
              <w:ind w:left="0" w:firstLine="0"/>
              <w:jc w:val="center"/>
              <w:spacing w:before="0" w:after="200"/>
              <w:widowControl w:val="off"/>
              <w:tabs>
                <w:tab w:val="left" w:pos="283" w:leader="none"/>
                <w:tab w:val="clear" w:pos="708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ffffff" w:fill="ffffff"/>
            <w:tcBorders>
              <w:left w:val="single" w:color="000000" w:sz="8" w:space="0"/>
              <w:bottom w:val="single" w:color="000000" w:sz="8" w:space="0"/>
            </w:tcBorders>
            <w:tcW w:w="1670" w:type="dxa"/>
            <w:vAlign w:val="center"/>
            <w:textDirection w:val="lrTb"/>
            <w:noWrap w:val="false"/>
          </w:tcPr>
          <w:p>
            <w:pPr>
              <w:pStyle w:val="631"/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НТЭЦ</w:t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ffffff" w:fill="ffffff"/>
            <w:tcBorders>
              <w:left w:val="single" w:color="000000" w:sz="8" w:space="0"/>
              <w:bottom w:val="single" w:color="000000" w:sz="8" w:space="0"/>
            </w:tcBorders>
            <w:tcW w:w="5417" w:type="dxa"/>
            <w:vAlign w:val="center"/>
            <w:textDirection w:val="lrTb"/>
            <w:noWrap w:val="false"/>
          </w:tcPr>
          <w:p>
            <w:pPr>
              <w:pStyle w:val="631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Трубопровод РСМ-ХВО для откачки дренажей загрезненных мазутом), с разработкой паспорта</w:t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ffffff" w:fill="ffffff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2075" w:type="dxa"/>
            <w:vAlign w:val="center"/>
            <w:textDirection w:val="lrTb"/>
            <w:noWrap w:val="false"/>
          </w:tcPr>
          <w:p>
            <w:pPr>
              <w:pStyle w:val="631"/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48х3,5, 139,399 м; 57х3,5, 23,68 м</w:t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ffffff" w:fill="ffffff"/>
            <w:tcBorders>
              <w:left w:val="single" w:color="000000" w:sz="8" w:space="0"/>
              <w:bottom w:val="single" w:color="000000" w:sz="8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pStyle w:val="697"/>
              <w:numPr>
                <w:ilvl w:val="0"/>
                <w:numId w:val="4"/>
              </w:numPr>
              <w:contextualSpacing/>
              <w:ind w:left="0" w:firstLine="0"/>
              <w:jc w:val="center"/>
              <w:spacing w:before="0" w:after="200"/>
              <w:widowControl w:val="off"/>
              <w:tabs>
                <w:tab w:val="left" w:pos="283" w:leader="none"/>
                <w:tab w:val="clear" w:pos="708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ffffff" w:fill="ffffff"/>
            <w:tcBorders>
              <w:left w:val="single" w:color="000000" w:sz="8" w:space="0"/>
              <w:bottom w:val="single" w:color="000000" w:sz="8" w:space="0"/>
            </w:tcBorders>
            <w:tcW w:w="1670" w:type="dxa"/>
            <w:vAlign w:val="center"/>
            <w:textDirection w:val="lrTb"/>
            <w:noWrap w:val="false"/>
          </w:tcPr>
          <w:p>
            <w:pPr>
              <w:pStyle w:val="631"/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НТЭЦ</w:t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ffffff" w:fill="ffffff"/>
            <w:tcBorders>
              <w:left w:val="single" w:color="000000" w:sz="8" w:space="0"/>
              <w:bottom w:val="single" w:color="000000" w:sz="8" w:space="0"/>
            </w:tcBorders>
            <w:tcW w:w="5417" w:type="dxa"/>
            <w:vAlign w:val="center"/>
            <w:textDirection w:val="lrTb"/>
            <w:noWrap w:val="false"/>
          </w:tcPr>
          <w:p>
            <w:pPr>
              <w:pStyle w:val="631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Трубопровод ХВО- РСМ (для откачки мазута с ХВО на РСМ), с разработкой паспорта</w:t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ffffff" w:fill="ffffff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2075" w:type="dxa"/>
            <w:vAlign w:val="center"/>
            <w:textDirection w:val="lrTb"/>
            <w:noWrap w:val="false"/>
          </w:tcPr>
          <w:p>
            <w:pPr>
              <w:pStyle w:val="631"/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48х3,5, 18,8 м; 57х3,5, 126,6 м</w:t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ffffff" w:fill="ffffff"/>
            <w:tcBorders>
              <w:left w:val="single" w:color="000000" w:sz="8" w:space="0"/>
              <w:bottom w:val="single" w:color="000000" w:sz="8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pStyle w:val="697"/>
              <w:numPr>
                <w:ilvl w:val="0"/>
                <w:numId w:val="4"/>
              </w:numPr>
              <w:contextualSpacing/>
              <w:ind w:left="0" w:firstLine="0"/>
              <w:jc w:val="center"/>
              <w:spacing w:before="0" w:after="200"/>
              <w:widowControl w:val="off"/>
              <w:tabs>
                <w:tab w:val="left" w:pos="283" w:leader="none"/>
                <w:tab w:val="clear" w:pos="708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ffffff" w:fill="ffffff"/>
            <w:tcBorders>
              <w:left w:val="single" w:color="000000" w:sz="8" w:space="0"/>
              <w:bottom w:val="single" w:color="000000" w:sz="8" w:space="0"/>
            </w:tcBorders>
            <w:tcW w:w="1670" w:type="dxa"/>
            <w:vAlign w:val="center"/>
            <w:textDirection w:val="lrTb"/>
            <w:noWrap w:val="false"/>
          </w:tcPr>
          <w:p>
            <w:pPr>
              <w:pStyle w:val="631"/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НТЭЦ</w:t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ffffff" w:fill="ffffff"/>
            <w:tcBorders>
              <w:left w:val="single" w:color="000000" w:sz="8" w:space="0"/>
              <w:bottom w:val="single" w:color="000000" w:sz="8" w:space="0"/>
            </w:tcBorders>
            <w:tcW w:w="5417" w:type="dxa"/>
            <w:vAlign w:val="center"/>
            <w:textDirection w:val="lrTb"/>
            <w:noWrap w:val="false"/>
          </w:tcPr>
          <w:p>
            <w:pPr>
              <w:pStyle w:val="631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Зачистной трубопровод РВС №1, №2 мазутонасосная РСМ, с разработкой паспорта</w:t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ffffff" w:fill="ffffff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2075" w:type="dxa"/>
            <w:vAlign w:val="center"/>
            <w:textDirection w:val="lrTb"/>
            <w:noWrap w:val="false"/>
          </w:tcPr>
          <w:p>
            <w:pPr>
              <w:pStyle w:val="631"/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108х5, 56,75 м;</w:t>
            </w:r>
            <w:r>
              <w:rPr>
                <w:rFonts w:ascii="Times New Roman" w:hAnsi="Times New Roman"/>
              </w:rPr>
            </w:r>
          </w:p>
          <w:p>
            <w:pPr>
              <w:pStyle w:val="631"/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89х5, 4 м;</w:t>
            </w:r>
            <w:r>
              <w:rPr>
                <w:rFonts w:ascii="Times New Roman" w:hAnsi="Times New Roman"/>
              </w:rPr>
            </w:r>
          </w:p>
          <w:p>
            <w:pPr>
              <w:pStyle w:val="631"/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76х5,0, 2,8 м;</w:t>
            </w:r>
            <w:r>
              <w:rPr>
                <w:rFonts w:ascii="Times New Roman" w:hAnsi="Times New Roman"/>
              </w:rPr>
            </w:r>
          </w:p>
          <w:p>
            <w:pPr>
              <w:pStyle w:val="631"/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60х5,0, 14.7 м;</w:t>
            </w:r>
            <w:r>
              <w:rPr>
                <w:rFonts w:ascii="Times New Roman" w:hAnsi="Times New Roman"/>
              </w:rPr>
            </w:r>
          </w:p>
          <w:p>
            <w:pPr>
              <w:pStyle w:val="631"/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34х5,0, 0,35 м</w:t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ffffff" w:fill="ffffff"/>
            <w:tcBorders>
              <w:left w:val="single" w:color="000000" w:sz="8" w:space="0"/>
              <w:bottom w:val="single" w:color="000000" w:sz="8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pStyle w:val="697"/>
              <w:numPr>
                <w:ilvl w:val="0"/>
                <w:numId w:val="4"/>
              </w:numPr>
              <w:contextualSpacing/>
              <w:ind w:left="0" w:firstLine="0"/>
              <w:jc w:val="center"/>
              <w:spacing w:before="0" w:after="200"/>
              <w:widowControl w:val="off"/>
              <w:tabs>
                <w:tab w:val="left" w:pos="283" w:leader="none"/>
                <w:tab w:val="clear" w:pos="708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ffffff" w:fill="ffffff"/>
            <w:tcBorders>
              <w:left w:val="single" w:color="000000" w:sz="8" w:space="0"/>
              <w:bottom w:val="single" w:color="000000" w:sz="8" w:space="0"/>
            </w:tcBorders>
            <w:tcW w:w="1670" w:type="dxa"/>
            <w:vAlign w:val="center"/>
            <w:textDirection w:val="lrTb"/>
            <w:noWrap w:val="false"/>
          </w:tcPr>
          <w:p>
            <w:pPr>
              <w:pStyle w:val="631"/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НТЭЦ</w:t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ffffff" w:fill="ffffff"/>
            <w:tcBorders>
              <w:left w:val="single" w:color="000000" w:sz="8" w:space="0"/>
              <w:bottom w:val="single" w:color="000000" w:sz="8" w:space="0"/>
            </w:tcBorders>
            <w:tcW w:w="5417" w:type="dxa"/>
            <w:vAlign w:val="center"/>
            <w:textDirection w:val="lrTb"/>
            <w:noWrap w:val="false"/>
          </w:tcPr>
          <w:p>
            <w:pPr>
              <w:pStyle w:val="631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Зачистной трубопровод РВС №№ 3,4,5 - мазутонасосная БСМ, с разработкой паспорта</w:t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ffffff" w:fill="ffffff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2075" w:type="dxa"/>
            <w:vAlign w:val="center"/>
            <w:textDirection w:val="lrTb"/>
            <w:noWrap w:val="false"/>
          </w:tcPr>
          <w:p>
            <w:pPr>
              <w:pStyle w:val="631"/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130х5,0, 3 м;</w:t>
            </w:r>
            <w:r>
              <w:rPr>
                <w:rFonts w:ascii="Times New Roman" w:hAnsi="Times New Roman"/>
              </w:rPr>
            </w:r>
          </w:p>
          <w:p>
            <w:pPr>
              <w:pStyle w:val="631"/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108х5,0, 393,585 м;</w:t>
            </w:r>
            <w:r>
              <w:rPr>
                <w:rFonts w:ascii="Times New Roman" w:hAnsi="Times New Roman"/>
              </w:rPr>
            </w:r>
          </w:p>
          <w:p>
            <w:pPr>
              <w:pStyle w:val="631"/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102х5,0, 1,5 м;</w:t>
            </w:r>
            <w:r>
              <w:rPr>
                <w:rFonts w:ascii="Times New Roman" w:hAnsi="Times New Roman"/>
              </w:rPr>
            </w:r>
          </w:p>
          <w:p>
            <w:pPr>
              <w:pStyle w:val="631"/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89х5,0, 3,5 м;</w:t>
            </w:r>
            <w:r>
              <w:rPr>
                <w:rFonts w:ascii="Times New Roman" w:hAnsi="Times New Roman"/>
              </w:rPr>
            </w:r>
          </w:p>
          <w:p>
            <w:pPr>
              <w:pStyle w:val="631"/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83х5,0, 3,1 м;</w:t>
            </w:r>
            <w:r>
              <w:rPr>
                <w:rFonts w:ascii="Times New Roman" w:hAnsi="Times New Roman"/>
              </w:rPr>
            </w:r>
          </w:p>
          <w:p>
            <w:pPr>
              <w:pStyle w:val="631"/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57х3,5, 800 м</w:t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ffffff" w:fill="ffffff"/>
            <w:tcBorders>
              <w:left w:val="single" w:color="000000" w:sz="8" w:space="0"/>
              <w:bottom w:val="single" w:color="000000" w:sz="8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pStyle w:val="697"/>
              <w:numPr>
                <w:ilvl w:val="0"/>
                <w:numId w:val="4"/>
              </w:numPr>
              <w:contextualSpacing/>
              <w:ind w:left="0" w:firstLine="0"/>
              <w:jc w:val="center"/>
              <w:spacing w:before="0" w:after="200"/>
              <w:widowControl w:val="off"/>
              <w:tabs>
                <w:tab w:val="left" w:pos="283" w:leader="none"/>
                <w:tab w:val="clear" w:pos="708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ffffff" w:fill="ffffff"/>
            <w:tcBorders>
              <w:left w:val="single" w:color="000000" w:sz="8" w:space="0"/>
              <w:bottom w:val="single" w:color="000000" w:sz="8" w:space="0"/>
            </w:tcBorders>
            <w:tcW w:w="1670" w:type="dxa"/>
            <w:vAlign w:val="center"/>
            <w:textDirection w:val="lrTb"/>
            <w:noWrap w:val="false"/>
          </w:tcPr>
          <w:p>
            <w:pPr>
              <w:pStyle w:val="631"/>
              <w:jc w:val="center"/>
              <w:shd w:val="clear" w:color="ffffff" w:themeColor="background1" w:fill="ffffff" w:themeFill="background1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НТЭЦ</w:t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ffffff" w:fill="ffffff"/>
            <w:tcBorders>
              <w:left w:val="single" w:color="000000" w:sz="8" w:space="0"/>
              <w:bottom w:val="single" w:color="000000" w:sz="8" w:space="0"/>
            </w:tcBorders>
            <w:tcW w:w="5417" w:type="dxa"/>
            <w:vAlign w:val="center"/>
            <w:textDirection w:val="lrTb"/>
            <w:noWrap w:val="false"/>
          </w:tcPr>
          <w:p>
            <w:pPr>
              <w:pStyle w:val="631"/>
              <w:widowControl w:val="off"/>
              <w:rPr>
                <w:rFonts w:ascii="Times New Roman" w:hAnsi="Times New Roman" w:eastAsia="Times New Roman" w:cs="Times New Roman"/>
                <w:color w:val="00000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Мазутопровод рециркуляции РВС № 3 машинный зал БСМ, с разработкой паспорта</w:t>
            </w:r>
            <w:r>
              <w:rPr>
                <w:rFonts w:ascii="Times New Roman" w:hAnsi="Times New Roman" w:eastAsia="Times New Roman" w:cs="Times New Roman"/>
                <w:color w:val="000000"/>
                <w:highlight w:val="none"/>
              </w:rPr>
            </w:r>
          </w:p>
          <w:p>
            <w:pPr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highlight w:val="none"/>
              </w:rPr>
            </w:r>
          </w:p>
        </w:tc>
        <w:tc>
          <w:tcPr>
            <w:shd w:val="clear" w:color="ffffff" w:fill="ffffff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2075" w:type="dxa"/>
            <w:vAlign w:val="center"/>
            <w:textDirection w:val="lrTb"/>
            <w:noWrap w:val="false"/>
          </w:tcPr>
          <w:p>
            <w:pPr>
              <w:pStyle w:val="631"/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 xml:space="preserve">108х6,0, 10м.</w:t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ffffff" w:fill="ffffff"/>
            <w:tcBorders>
              <w:left w:val="single" w:color="000000" w:sz="8" w:space="0"/>
              <w:bottom w:val="single" w:color="000000" w:sz="8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pStyle w:val="697"/>
              <w:numPr>
                <w:ilvl w:val="0"/>
                <w:numId w:val="4"/>
              </w:numPr>
              <w:contextualSpacing/>
              <w:ind w:left="0" w:firstLine="0"/>
              <w:jc w:val="center"/>
              <w:spacing w:before="0" w:after="200"/>
              <w:widowControl w:val="off"/>
              <w:tabs>
                <w:tab w:val="left" w:pos="283" w:leader="none"/>
                <w:tab w:val="clear" w:pos="708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ffffff" w:fill="ffffff"/>
            <w:tcBorders>
              <w:left w:val="single" w:color="000000" w:sz="8" w:space="0"/>
              <w:bottom w:val="single" w:color="000000" w:sz="8" w:space="0"/>
            </w:tcBorders>
            <w:tcW w:w="1670" w:type="dxa"/>
            <w:vAlign w:val="center"/>
            <w:textDirection w:val="lrTb"/>
            <w:noWrap w:val="false"/>
          </w:tcPr>
          <w:p>
            <w:pPr>
              <w:pStyle w:val="631"/>
              <w:jc w:val="center"/>
              <w:shd w:val="clear" w:color="ffffff" w:themeColor="background1" w:fill="ffffff" w:themeFill="background1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НТЭЦ</w:t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ffffff" w:fill="ffffff"/>
            <w:tcBorders>
              <w:left w:val="single" w:color="000000" w:sz="8" w:space="0"/>
              <w:bottom w:val="single" w:color="000000" w:sz="8" w:space="0"/>
            </w:tcBorders>
            <w:tcW w:w="5417" w:type="dxa"/>
            <w:vAlign w:val="center"/>
            <w:textDirection w:val="lrTb"/>
            <w:noWrap w:val="false"/>
          </w:tcPr>
          <w:p>
            <w:pPr>
              <w:pStyle w:val="631"/>
              <w:widowControl w:val="off"/>
              <w:rPr>
                <w:rFonts w:ascii="Times New Roman" w:hAnsi="Times New Roman" w:eastAsia="Times New Roman" w:cs="Times New Roman"/>
                <w:color w:val="00000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Мазутопровод рециркуляции РВС № 4 машинный зал БСМ, с разработкой паспорта</w:t>
            </w:r>
            <w:r>
              <w:rPr>
                <w:rFonts w:ascii="Times New Roman" w:hAnsi="Times New Roman" w:eastAsia="Times New Roman" w:cs="Times New Roman"/>
                <w:color w:val="000000"/>
                <w:highlight w:val="none"/>
              </w:rPr>
            </w:r>
          </w:p>
          <w:p>
            <w:pPr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highlight w:val="none"/>
              </w:rPr>
            </w:r>
          </w:p>
        </w:tc>
        <w:tc>
          <w:tcPr>
            <w:shd w:val="clear" w:color="ffffff" w:fill="ffffff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2075" w:type="dxa"/>
            <w:vAlign w:val="center"/>
            <w:textDirection w:val="lrTb"/>
            <w:noWrap w:val="false"/>
          </w:tcPr>
          <w:p>
            <w:pPr>
              <w:pStyle w:val="631"/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 xml:space="preserve">108х6,0,  10,2м</w:t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ffffff" w:fill="ffffff"/>
            <w:tcBorders>
              <w:left w:val="single" w:color="000000" w:sz="8" w:space="0"/>
              <w:bottom w:val="single" w:color="000000" w:sz="8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pStyle w:val="697"/>
              <w:numPr>
                <w:ilvl w:val="0"/>
                <w:numId w:val="4"/>
              </w:numPr>
              <w:contextualSpacing/>
              <w:ind w:left="0" w:firstLine="0"/>
              <w:jc w:val="center"/>
              <w:spacing w:before="0" w:after="200"/>
              <w:widowControl w:val="off"/>
              <w:tabs>
                <w:tab w:val="left" w:pos="283" w:leader="none"/>
                <w:tab w:val="clear" w:pos="708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ffffff" w:fill="ffffff"/>
            <w:tcBorders>
              <w:left w:val="single" w:color="000000" w:sz="8" w:space="0"/>
              <w:bottom w:val="single" w:color="000000" w:sz="8" w:space="0"/>
            </w:tcBorders>
            <w:tcW w:w="1670" w:type="dxa"/>
            <w:vAlign w:val="center"/>
            <w:textDirection w:val="lrTb"/>
            <w:noWrap w:val="false"/>
          </w:tcPr>
          <w:p>
            <w:pPr>
              <w:pStyle w:val="631"/>
              <w:jc w:val="center"/>
              <w:shd w:val="clear" w:color="ffffff" w:themeColor="background1" w:fill="ffffff" w:themeFill="background1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НТЭЦ</w:t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ffffff" w:fill="ffffff"/>
            <w:tcBorders>
              <w:left w:val="single" w:color="000000" w:sz="8" w:space="0"/>
              <w:bottom w:val="single" w:color="000000" w:sz="8" w:space="0"/>
            </w:tcBorders>
            <w:tcW w:w="5417" w:type="dxa"/>
            <w:vAlign w:val="center"/>
            <w:textDirection w:val="lrTb"/>
            <w:noWrap w:val="false"/>
          </w:tcPr>
          <w:p>
            <w:pPr>
              <w:pStyle w:val="631"/>
              <w:widowControl w:val="off"/>
              <w:rPr>
                <w:rFonts w:ascii="Times New Roman" w:hAnsi="Times New Roman" w:eastAsia="Times New Roman" w:cs="Times New Roman"/>
                <w:color w:val="00000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Мазутопровод рециркуляции РВС № 5 машинный зал БСМ, с разработкой паспорта</w:t>
            </w:r>
            <w:r>
              <w:rPr>
                <w:rFonts w:ascii="Times New Roman" w:hAnsi="Times New Roman" w:eastAsia="Times New Roman" w:cs="Times New Roman"/>
                <w:color w:val="000000"/>
                <w:highlight w:val="none"/>
              </w:rPr>
            </w:r>
          </w:p>
          <w:p>
            <w:pPr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highlight w:val="none"/>
              </w:rPr>
            </w:r>
          </w:p>
        </w:tc>
        <w:tc>
          <w:tcPr>
            <w:shd w:val="clear" w:color="ffffff" w:fill="ffffff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2075" w:type="dxa"/>
            <w:vAlign w:val="center"/>
            <w:textDirection w:val="lrTb"/>
            <w:noWrap w:val="false"/>
          </w:tcPr>
          <w:p>
            <w:pPr>
              <w:pStyle w:val="631"/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 xml:space="preserve">108х6,0, 10,2м</w:t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ffffff" w:fill="ffffff"/>
            <w:tcBorders>
              <w:left w:val="single" w:color="000000" w:sz="8" w:space="0"/>
              <w:bottom w:val="single" w:color="000000" w:sz="8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pStyle w:val="697"/>
              <w:numPr>
                <w:ilvl w:val="0"/>
                <w:numId w:val="4"/>
              </w:numPr>
              <w:contextualSpacing/>
              <w:ind w:left="0" w:firstLine="0"/>
              <w:jc w:val="center"/>
              <w:spacing w:before="0" w:after="200"/>
              <w:widowControl w:val="off"/>
              <w:tabs>
                <w:tab w:val="left" w:pos="283" w:leader="none"/>
                <w:tab w:val="clear" w:pos="708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ffffff" w:fill="ffffff"/>
            <w:tcBorders>
              <w:left w:val="single" w:color="000000" w:sz="8" w:space="0"/>
              <w:bottom w:val="single" w:color="000000" w:sz="8" w:space="0"/>
            </w:tcBorders>
            <w:tcW w:w="1670" w:type="dxa"/>
            <w:vAlign w:val="center"/>
            <w:textDirection w:val="lrTb"/>
            <w:noWrap w:val="false"/>
          </w:tcPr>
          <w:p>
            <w:pPr>
              <w:pStyle w:val="631"/>
              <w:jc w:val="center"/>
              <w:shd w:val="clear" w:color="ffffff" w:themeColor="background1" w:fill="ffffff" w:themeFill="background1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НТЭЦ</w:t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ffffff" w:fill="ffffff"/>
            <w:tcBorders>
              <w:left w:val="single" w:color="000000" w:sz="8" w:space="0"/>
              <w:bottom w:val="single" w:color="000000" w:sz="8" w:space="0"/>
            </w:tcBorders>
            <w:tcW w:w="5417" w:type="dxa"/>
            <w:vAlign w:val="center"/>
            <w:textDirection w:val="lrTb"/>
            <w:noWrap w:val="false"/>
          </w:tcPr>
          <w:p>
            <w:pPr>
              <w:pStyle w:val="631"/>
              <w:widowControl w:val="off"/>
              <w:rPr>
                <w:rFonts w:ascii="Times New Roman" w:hAnsi="Times New Roman" w:eastAsia="Times New Roman" w:cs="Times New Roman"/>
                <w:color w:val="00000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Зачистной трубопровод РВС № 3 машинный зал  БСМ, с разработкой паспорта</w:t>
            </w:r>
            <w:r>
              <w:rPr>
                <w:rFonts w:ascii="Times New Roman" w:hAnsi="Times New Roman" w:eastAsia="Times New Roman" w:cs="Times New Roman"/>
                <w:color w:val="000000"/>
                <w:highlight w:val="none"/>
              </w:rPr>
            </w:r>
          </w:p>
          <w:p>
            <w:pPr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highlight w:val="none"/>
              </w:rPr>
            </w:r>
          </w:p>
        </w:tc>
        <w:tc>
          <w:tcPr>
            <w:shd w:val="clear" w:color="ffffff" w:fill="ffffff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2075" w:type="dxa"/>
            <w:vAlign w:val="center"/>
            <w:textDirection w:val="lrTb"/>
            <w:noWrap w:val="false"/>
          </w:tcPr>
          <w:p>
            <w:pPr>
              <w:pStyle w:val="631"/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 xml:space="preserve">108х6,0, 10,2м</w:t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ffffff" w:fill="ffffff"/>
            <w:tcBorders>
              <w:left w:val="single" w:color="000000" w:sz="8" w:space="0"/>
              <w:bottom w:val="single" w:color="000000" w:sz="8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pStyle w:val="697"/>
              <w:numPr>
                <w:ilvl w:val="0"/>
                <w:numId w:val="4"/>
              </w:numPr>
              <w:contextualSpacing/>
              <w:ind w:left="0" w:firstLine="0"/>
              <w:jc w:val="center"/>
              <w:spacing w:before="0" w:after="200"/>
              <w:widowControl w:val="off"/>
              <w:tabs>
                <w:tab w:val="left" w:pos="283" w:leader="none"/>
                <w:tab w:val="clear" w:pos="708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ffffff" w:fill="ffffff"/>
            <w:tcBorders>
              <w:left w:val="single" w:color="000000" w:sz="8" w:space="0"/>
              <w:bottom w:val="single" w:color="000000" w:sz="8" w:space="0"/>
            </w:tcBorders>
            <w:tcW w:w="1670" w:type="dxa"/>
            <w:vAlign w:val="center"/>
            <w:textDirection w:val="lrTb"/>
            <w:noWrap w:val="false"/>
          </w:tcPr>
          <w:p>
            <w:pPr>
              <w:pStyle w:val="631"/>
              <w:jc w:val="center"/>
              <w:shd w:val="clear" w:color="ffffff" w:themeColor="background1" w:fill="ffffff" w:themeFill="background1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НТЭЦ</w:t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ffffff" w:fill="ffffff"/>
            <w:tcBorders>
              <w:left w:val="single" w:color="000000" w:sz="8" w:space="0"/>
              <w:bottom w:val="single" w:color="000000" w:sz="8" w:space="0"/>
            </w:tcBorders>
            <w:tcW w:w="5417" w:type="dxa"/>
            <w:vAlign w:val="center"/>
            <w:textDirection w:val="lrTb"/>
            <w:noWrap w:val="false"/>
          </w:tcPr>
          <w:p>
            <w:pPr>
              <w:pStyle w:val="631"/>
              <w:widowControl w:val="off"/>
              <w:rPr>
                <w:rFonts w:ascii="Times New Roman" w:hAnsi="Times New Roman" w:eastAsia="Times New Roman" w:cs="Times New Roman"/>
                <w:color w:val="00000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Зачистной трубопровод РВС № 4 машинный зал БСМ, с разработкой паспорта</w:t>
            </w:r>
            <w:r>
              <w:rPr>
                <w:rFonts w:ascii="Times New Roman" w:hAnsi="Times New Roman" w:eastAsia="Times New Roman" w:cs="Times New Roman"/>
                <w:color w:val="000000"/>
                <w:highlight w:val="none"/>
              </w:rPr>
            </w:r>
          </w:p>
          <w:p>
            <w:pPr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highlight w:val="none"/>
              </w:rPr>
            </w:r>
          </w:p>
        </w:tc>
        <w:tc>
          <w:tcPr>
            <w:shd w:val="clear" w:color="ffffff" w:fill="ffffff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2075" w:type="dxa"/>
            <w:vAlign w:val="center"/>
            <w:textDirection w:val="lrTb"/>
            <w:noWrap w:val="false"/>
          </w:tcPr>
          <w:p>
            <w:pPr>
              <w:pStyle w:val="631"/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 xml:space="preserve">108х6,0 10м</w:t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ffffff" w:fill="ffffff"/>
            <w:tcBorders>
              <w:left w:val="single" w:color="000000" w:sz="8" w:space="0"/>
              <w:bottom w:val="single" w:color="000000" w:sz="8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pStyle w:val="697"/>
              <w:numPr>
                <w:ilvl w:val="0"/>
                <w:numId w:val="4"/>
              </w:numPr>
              <w:contextualSpacing/>
              <w:ind w:left="0" w:firstLine="0"/>
              <w:jc w:val="center"/>
              <w:spacing w:before="0" w:after="200"/>
              <w:widowControl w:val="off"/>
              <w:tabs>
                <w:tab w:val="left" w:pos="283" w:leader="none"/>
                <w:tab w:val="clear" w:pos="708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ffffff" w:fill="ffffff"/>
            <w:tcBorders>
              <w:left w:val="single" w:color="000000" w:sz="8" w:space="0"/>
              <w:bottom w:val="single" w:color="000000" w:sz="8" w:space="0"/>
            </w:tcBorders>
            <w:tcW w:w="1670" w:type="dxa"/>
            <w:vAlign w:val="center"/>
            <w:textDirection w:val="lrTb"/>
            <w:noWrap w:val="false"/>
          </w:tcPr>
          <w:p>
            <w:pPr>
              <w:pStyle w:val="631"/>
              <w:jc w:val="center"/>
              <w:shd w:val="clear" w:color="ffffff" w:themeColor="background1" w:fill="ffffff" w:themeFill="background1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НТЭЦ</w:t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ffffff" w:fill="ffffff"/>
            <w:tcBorders>
              <w:left w:val="single" w:color="000000" w:sz="8" w:space="0"/>
              <w:bottom w:val="single" w:color="000000" w:sz="8" w:space="0"/>
            </w:tcBorders>
            <w:tcW w:w="5417" w:type="dxa"/>
            <w:vAlign w:val="center"/>
            <w:textDirection w:val="lrTb"/>
            <w:noWrap w:val="false"/>
          </w:tcPr>
          <w:p>
            <w:pPr>
              <w:pStyle w:val="631"/>
              <w:widowControl w:val="off"/>
              <w:rPr>
                <w:rFonts w:ascii="Times New Roman" w:hAnsi="Times New Roman" w:eastAsia="Times New Roman" w:cs="Times New Roman"/>
                <w:color w:val="00000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Зачистной трубопровод РВС № 5 машинный зал БСМ, с разработкой паспорта</w:t>
            </w:r>
            <w:r>
              <w:rPr>
                <w:rFonts w:ascii="Times New Roman" w:hAnsi="Times New Roman" w:eastAsia="Times New Roman" w:cs="Times New Roman"/>
                <w:color w:val="000000"/>
                <w:highlight w:val="none"/>
              </w:rPr>
            </w:r>
          </w:p>
          <w:p>
            <w:pPr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highlight w:val="none"/>
              </w:rPr>
            </w:r>
          </w:p>
        </w:tc>
        <w:tc>
          <w:tcPr>
            <w:shd w:val="clear" w:color="ffffff" w:fill="ffffff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2075" w:type="dxa"/>
            <w:vAlign w:val="center"/>
            <w:textDirection w:val="lrTb"/>
            <w:noWrap w:val="false"/>
          </w:tcPr>
          <w:p>
            <w:pPr>
              <w:pStyle w:val="631"/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 xml:space="preserve">108х6,0, 10м</w:t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ffffff" w:fill="ffffff"/>
            <w:tcBorders>
              <w:left w:val="single" w:color="000000" w:sz="8" w:space="0"/>
              <w:bottom w:val="single" w:color="000000" w:sz="8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pStyle w:val="697"/>
              <w:numPr>
                <w:ilvl w:val="0"/>
                <w:numId w:val="4"/>
              </w:numPr>
              <w:contextualSpacing/>
              <w:ind w:left="0" w:firstLine="0"/>
              <w:jc w:val="center"/>
              <w:spacing w:before="0" w:after="200"/>
              <w:widowControl w:val="off"/>
              <w:tabs>
                <w:tab w:val="left" w:pos="283" w:leader="none"/>
                <w:tab w:val="clear" w:pos="708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ffffff" w:fill="ffffff"/>
            <w:tcBorders>
              <w:left w:val="single" w:color="000000" w:sz="8" w:space="0"/>
              <w:bottom w:val="single" w:color="000000" w:sz="8" w:space="0"/>
            </w:tcBorders>
            <w:tcW w:w="1670" w:type="dxa"/>
            <w:vAlign w:val="center"/>
            <w:textDirection w:val="lrTb"/>
            <w:noWrap w:val="false"/>
          </w:tcPr>
          <w:p>
            <w:pPr>
              <w:pStyle w:val="631"/>
              <w:jc w:val="center"/>
              <w:shd w:val="clear" w:color="ffffff" w:themeColor="background1" w:fill="ffffff" w:themeFill="background1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НТЭЦ</w:t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ffffff" w:fill="ffffff"/>
            <w:tcBorders>
              <w:left w:val="single" w:color="000000" w:sz="8" w:space="0"/>
              <w:bottom w:val="single" w:color="000000" w:sz="8" w:space="0"/>
            </w:tcBorders>
            <w:tcW w:w="5417" w:type="dxa"/>
            <w:vAlign w:val="center"/>
            <w:textDirection w:val="lrTb"/>
            <w:noWrap w:val="false"/>
          </w:tcPr>
          <w:p>
            <w:pPr>
              <w:pStyle w:val="631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Мазутопровод ОМП № 1, с разработкой паспорта</w:t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ffffff" w:fill="ffffff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2075" w:type="dxa"/>
            <w:vAlign w:val="center"/>
            <w:textDirection w:val="lrTb"/>
            <w:noWrap w:val="false"/>
          </w:tcPr>
          <w:p>
            <w:pPr>
              <w:pStyle w:val="631"/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 xml:space="preserve">108х6,0 10,3м</w:t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ffffff" w:fill="ffffff"/>
            <w:tcBorders>
              <w:left w:val="single" w:color="000000" w:sz="8" w:space="0"/>
              <w:bottom w:val="single" w:color="000000" w:sz="8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pStyle w:val="697"/>
              <w:numPr>
                <w:ilvl w:val="0"/>
                <w:numId w:val="4"/>
              </w:numPr>
              <w:contextualSpacing/>
              <w:ind w:left="0" w:firstLine="0"/>
              <w:jc w:val="center"/>
              <w:spacing w:before="0" w:after="200"/>
              <w:widowControl w:val="off"/>
              <w:tabs>
                <w:tab w:val="left" w:pos="283" w:leader="none"/>
                <w:tab w:val="clear" w:pos="708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ffffff" w:fill="ffffff"/>
            <w:tcBorders>
              <w:left w:val="single" w:color="000000" w:sz="8" w:space="0"/>
              <w:bottom w:val="single" w:color="000000" w:sz="8" w:space="0"/>
            </w:tcBorders>
            <w:tcW w:w="1670" w:type="dxa"/>
            <w:vAlign w:val="center"/>
            <w:textDirection w:val="lrTb"/>
            <w:noWrap w:val="false"/>
          </w:tcPr>
          <w:p>
            <w:pPr>
              <w:pStyle w:val="631"/>
              <w:jc w:val="center"/>
              <w:shd w:val="clear" w:color="ffffff" w:themeColor="background1" w:fill="ffffff" w:themeFill="background1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ТЭЦ Восточная</w:t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ffffff" w:fill="ffffff"/>
            <w:tcBorders>
              <w:left w:val="single" w:color="000000" w:sz="8" w:space="0"/>
              <w:bottom w:val="single" w:color="000000" w:sz="8" w:space="0"/>
            </w:tcBorders>
            <w:tcW w:w="5417" w:type="dxa"/>
            <w:vAlign w:val="center"/>
            <w:textDirection w:val="lrTb"/>
            <w:noWrap w:val="false"/>
          </w:tcPr>
          <w:p>
            <w:pPr>
              <w:pStyle w:val="631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Трубопровод конденсата</w:t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ffffff" w:fill="ffffff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2075" w:type="dxa"/>
            <w:vAlign w:val="center"/>
            <w:textDirection w:val="lrTb"/>
            <w:noWrap w:val="false"/>
          </w:tcPr>
          <w:p>
            <w:pPr>
              <w:pStyle w:val="631"/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76х3,5, 100 м</w:t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ffffff" w:fill="ffffff"/>
            <w:tcBorders>
              <w:left w:val="single" w:color="000000" w:sz="8" w:space="0"/>
              <w:bottom w:val="single" w:color="000000" w:sz="8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pStyle w:val="697"/>
              <w:numPr>
                <w:ilvl w:val="0"/>
                <w:numId w:val="4"/>
              </w:numPr>
              <w:contextualSpacing/>
              <w:ind w:left="0" w:firstLine="0"/>
              <w:jc w:val="center"/>
              <w:spacing w:before="0" w:after="200"/>
              <w:widowControl w:val="off"/>
              <w:tabs>
                <w:tab w:val="left" w:pos="283" w:leader="none"/>
                <w:tab w:val="clear" w:pos="708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ffffff" w:fill="ffffff"/>
            <w:tcBorders>
              <w:left w:val="single" w:color="000000" w:sz="8" w:space="0"/>
              <w:bottom w:val="single" w:color="000000" w:sz="8" w:space="0"/>
            </w:tcBorders>
            <w:tcW w:w="1670" w:type="dxa"/>
            <w:vAlign w:val="center"/>
            <w:textDirection w:val="lrTb"/>
            <w:noWrap w:val="false"/>
          </w:tcPr>
          <w:p>
            <w:pPr>
              <w:pStyle w:val="631"/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ТЭЦ Восточная</w:t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ffffff" w:fill="ffffff"/>
            <w:tcBorders>
              <w:left w:val="single" w:color="000000" w:sz="8" w:space="0"/>
              <w:bottom w:val="single" w:color="000000" w:sz="8" w:space="0"/>
            </w:tcBorders>
            <w:tcW w:w="5417" w:type="dxa"/>
            <w:vAlign w:val="center"/>
            <w:textDirection w:val="lrTb"/>
            <w:noWrap w:val="false"/>
          </w:tcPr>
          <w:p>
            <w:pPr>
              <w:pStyle w:val="631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Трубопровод пара вторичного вскипания</w:t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ffffff" w:fill="ffffff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2075" w:type="dxa"/>
            <w:vAlign w:val="center"/>
            <w:textDirection w:val="lrTb"/>
            <w:noWrap w:val="false"/>
          </w:tcPr>
          <w:p>
            <w:pPr>
              <w:pStyle w:val="631"/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89х3,5, 14,5 м</w:t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ffffff" w:fill="ffffff"/>
            <w:tcBorders>
              <w:left w:val="single" w:color="000000" w:sz="8" w:space="0"/>
              <w:bottom w:val="single" w:color="000000" w:sz="8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pStyle w:val="697"/>
              <w:numPr>
                <w:ilvl w:val="0"/>
                <w:numId w:val="4"/>
              </w:numPr>
              <w:contextualSpacing/>
              <w:ind w:left="0" w:firstLine="0"/>
              <w:jc w:val="center"/>
              <w:spacing w:before="0" w:after="200"/>
              <w:widowControl w:val="off"/>
              <w:tabs>
                <w:tab w:val="left" w:pos="283" w:leader="none"/>
                <w:tab w:val="clear" w:pos="708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ffffff" w:fill="ffffff"/>
            <w:tcBorders>
              <w:left w:val="single" w:color="000000" w:sz="8" w:space="0"/>
              <w:bottom w:val="single" w:color="000000" w:sz="8" w:space="0"/>
            </w:tcBorders>
            <w:tcW w:w="1670" w:type="dxa"/>
            <w:vAlign w:val="center"/>
            <w:textDirection w:val="lrTb"/>
            <w:noWrap w:val="false"/>
          </w:tcPr>
          <w:p>
            <w:pPr>
              <w:pStyle w:val="631"/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ТЭЦ Восточная</w:t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ffffff" w:fill="ffffff"/>
            <w:tcBorders>
              <w:left w:val="single" w:color="000000" w:sz="8" w:space="0"/>
              <w:bottom w:val="single" w:color="000000" w:sz="8" w:space="0"/>
            </w:tcBorders>
            <w:tcW w:w="5417" w:type="dxa"/>
            <w:vAlign w:val="center"/>
            <w:textDirection w:val="lrTb"/>
            <w:noWrap w:val="false"/>
          </w:tcPr>
          <w:p>
            <w:pPr>
              <w:pStyle w:val="631"/>
              <w:widowControl w:val="off"/>
              <w:rPr>
                <w:rFonts w:ascii="Times New Roman" w:hAnsi="Times New Roman" w:eastAsia="Times New Roman" w:cs="Times New Roman"/>
                <w:color w:val="00000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Трубопровод питательной воды БМПК до питательных насосов</w:t>
            </w:r>
            <w:r>
              <w:rPr>
                <w:rFonts w:ascii="Times New Roman" w:hAnsi="Times New Roman" w:eastAsia="Times New Roman" w:cs="Times New Roman"/>
                <w:color w:val="000000"/>
                <w:highlight w:val="none"/>
              </w:rPr>
            </w:r>
          </w:p>
          <w:p>
            <w:pPr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highlight w:val="none"/>
              </w:rPr>
            </w:r>
          </w:p>
        </w:tc>
        <w:tc>
          <w:tcPr>
            <w:shd w:val="clear" w:color="ffffff" w:fill="ffffff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2075" w:type="dxa"/>
            <w:vAlign w:val="center"/>
            <w:textDirection w:val="lrTb"/>
            <w:noWrap w:val="false"/>
          </w:tcPr>
          <w:p>
            <w:pPr>
              <w:pStyle w:val="631"/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133х4,5, 14,2 м</w:t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ffffff" w:fill="ffffff"/>
            <w:tcBorders>
              <w:left w:val="single" w:color="000000" w:sz="8" w:space="0"/>
              <w:bottom w:val="single" w:color="000000" w:sz="8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pStyle w:val="697"/>
              <w:numPr>
                <w:ilvl w:val="0"/>
                <w:numId w:val="4"/>
              </w:numPr>
              <w:contextualSpacing/>
              <w:ind w:left="0" w:firstLine="0"/>
              <w:jc w:val="center"/>
              <w:spacing w:before="0" w:after="200"/>
              <w:widowControl w:val="off"/>
              <w:tabs>
                <w:tab w:val="left" w:pos="283" w:leader="none"/>
                <w:tab w:val="clear" w:pos="708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ffffff" w:fill="ffffff"/>
            <w:tcBorders>
              <w:left w:val="single" w:color="000000" w:sz="8" w:space="0"/>
              <w:bottom w:val="single" w:color="000000" w:sz="8" w:space="0"/>
            </w:tcBorders>
            <w:tcW w:w="1670" w:type="dxa"/>
            <w:vAlign w:val="center"/>
            <w:textDirection w:val="lrTb"/>
            <w:noWrap w:val="false"/>
          </w:tcPr>
          <w:p>
            <w:pPr>
              <w:pStyle w:val="631"/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ТЭЦ Восточная</w:t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ffffff" w:fill="ffffff"/>
            <w:tcBorders>
              <w:left w:val="single" w:color="000000" w:sz="8" w:space="0"/>
              <w:bottom w:val="single" w:color="000000" w:sz="8" w:space="0"/>
            </w:tcBorders>
            <w:tcW w:w="5417" w:type="dxa"/>
            <w:vAlign w:val="center"/>
            <w:textDirection w:val="lrTb"/>
            <w:noWrap w:val="false"/>
          </w:tcPr>
          <w:p>
            <w:pPr>
              <w:pStyle w:val="631"/>
              <w:widowControl w:val="off"/>
              <w:rPr>
                <w:rFonts w:ascii="Times New Roman" w:hAnsi="Times New Roman" w:eastAsia="Times New Roman" w:cs="Times New Roman"/>
                <w:color w:val="00000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Трубопровод рециркуляции деаэратора до насосов рециркуляции</w:t>
            </w:r>
            <w:r>
              <w:rPr>
                <w:rFonts w:ascii="Times New Roman" w:hAnsi="Times New Roman" w:eastAsia="Times New Roman" w:cs="Times New Roman"/>
                <w:color w:val="000000"/>
                <w:highlight w:val="none"/>
              </w:rPr>
            </w:r>
          </w:p>
          <w:p>
            <w:pPr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highlight w:val="none"/>
              </w:rPr>
            </w:r>
          </w:p>
        </w:tc>
        <w:tc>
          <w:tcPr>
            <w:shd w:val="clear" w:color="ffffff" w:fill="ffffff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2075" w:type="dxa"/>
            <w:vAlign w:val="center"/>
            <w:textDirection w:val="lrTb"/>
            <w:noWrap w:val="false"/>
          </w:tcPr>
          <w:p>
            <w:pPr>
              <w:pStyle w:val="631"/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57х3,5, 14,5 м</w:t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ffffff" w:fill="ffffff"/>
            <w:tcBorders>
              <w:left w:val="single" w:color="000000" w:sz="8" w:space="0"/>
              <w:bottom w:val="single" w:color="000000" w:sz="8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pStyle w:val="697"/>
              <w:numPr>
                <w:ilvl w:val="0"/>
                <w:numId w:val="4"/>
              </w:numPr>
              <w:contextualSpacing/>
              <w:ind w:left="0" w:firstLine="0"/>
              <w:jc w:val="center"/>
              <w:spacing w:before="0" w:after="200"/>
              <w:widowControl w:val="off"/>
              <w:tabs>
                <w:tab w:val="left" w:pos="283" w:leader="none"/>
                <w:tab w:val="clear" w:pos="708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ffffff" w:fill="ffffff"/>
            <w:tcBorders>
              <w:left w:val="single" w:color="000000" w:sz="8" w:space="0"/>
              <w:bottom w:val="single" w:color="000000" w:sz="8" w:space="0"/>
            </w:tcBorders>
            <w:tcW w:w="1670" w:type="dxa"/>
            <w:vAlign w:val="center"/>
            <w:textDirection w:val="lrTb"/>
            <w:noWrap w:val="false"/>
          </w:tcPr>
          <w:p>
            <w:pPr>
              <w:pStyle w:val="631"/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ТЭЦ Восточная</w:t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ffffff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417" w:type="dxa"/>
            <w:vAlign w:val="center"/>
            <w:textDirection w:val="lrTb"/>
            <w:noWrap w:val="false"/>
          </w:tcPr>
          <w:p>
            <w:pPr>
              <w:pStyle w:val="631"/>
              <w:widowControl w:val="off"/>
              <w:rPr>
                <w:rFonts w:ascii="Times New Roman" w:hAnsi="Times New Roman" w:eastAsia="Times New Roman" w:cs="Times New Roman"/>
                <w:color w:val="00000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Трубопровод питательной воды БМПК после питательных насосов</w:t>
            </w:r>
            <w:r/>
          </w:p>
          <w:p>
            <w:pPr>
              <w:widowControl w:val="off"/>
            </w:pPr>
            <w:r>
              <w:rPr>
                <w:rFonts w:ascii="Times New Roman" w:hAnsi="Times New Roman" w:eastAsia="Times New Roman" w:cs="Times New Roman"/>
                <w:color w:val="00000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highlight w:val="none"/>
              </w:rPr>
            </w:r>
          </w:p>
        </w:tc>
        <w:tc>
          <w:tcPr>
            <w:shd w:val="clear" w:color="ffffff" w:fill="ffffff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2075" w:type="dxa"/>
            <w:vAlign w:val="center"/>
            <w:textDirection w:val="lrTb"/>
            <w:noWrap w:val="false"/>
          </w:tcPr>
          <w:p>
            <w:pPr>
              <w:pStyle w:val="631"/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76х3,5, 33,5 м</w:t>
            </w:r>
            <w:r>
              <w:rPr>
                <w:rFonts w:ascii="Times New Roman" w:hAnsi="Times New Roman"/>
              </w:rPr>
            </w:r>
          </w:p>
        </w:tc>
      </w:tr>
      <w:tr>
        <w:tblPrEx/>
        <w:trPr/>
        <w:tc>
          <w:tcPr>
            <w:shd w:val="clear" w:color="ffffff" w:fill="ffffff"/>
            <w:tcBorders>
              <w:left w:val="single" w:color="000000" w:sz="8" w:space="0"/>
              <w:bottom w:val="single" w:color="000000" w:sz="8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pStyle w:val="697"/>
              <w:numPr>
                <w:ilvl w:val="0"/>
                <w:numId w:val="4"/>
              </w:numPr>
              <w:contextualSpacing/>
              <w:ind w:left="0" w:firstLine="0"/>
              <w:jc w:val="center"/>
              <w:spacing w:before="0" w:after="200"/>
              <w:widowControl w:val="off"/>
              <w:tabs>
                <w:tab w:val="left" w:pos="283" w:leader="none"/>
                <w:tab w:val="clear" w:pos="708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ffffff" w:fill="ffffff"/>
            <w:tcBorders>
              <w:left w:val="single" w:color="000000" w:sz="8" w:space="0"/>
              <w:bottom w:val="single" w:color="000000" w:sz="8" w:space="0"/>
            </w:tcBorders>
            <w:tcW w:w="1670" w:type="dxa"/>
            <w:vAlign w:val="center"/>
            <w:textDirection w:val="lrTb"/>
            <w:noWrap w:val="false"/>
          </w:tcPr>
          <w:p>
            <w:pPr>
              <w:pStyle w:val="631"/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ТЭЦ Восточная</w:t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ffffff" w:fill="ffffff"/>
            <w:tcBorders>
              <w:left w:val="single" w:color="000000" w:sz="8" w:space="0"/>
              <w:bottom w:val="single" w:color="000000" w:sz="8" w:space="0"/>
            </w:tcBorders>
            <w:tcW w:w="5417" w:type="dxa"/>
            <w:vAlign w:val="center"/>
            <w:textDirection w:val="lrTb"/>
            <w:noWrap w:val="false"/>
          </w:tcPr>
          <w:p>
            <w:pPr>
              <w:pStyle w:val="631"/>
              <w:widowControl w:val="off"/>
              <w:rPr>
                <w:rFonts w:ascii="Times New Roman" w:hAnsi="Times New Roman" w:eastAsia="Times New Roman" w:cs="Times New Roman"/>
                <w:color w:val="00000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Трубопровод рециркуляции деаэратора после насосов рециркуляции</w:t>
            </w:r>
            <w:r>
              <w:rPr>
                <w:rFonts w:ascii="Times New Roman" w:hAnsi="Times New Roman" w:eastAsia="Times New Roman" w:cs="Times New Roman"/>
                <w:color w:val="000000"/>
                <w:highlight w:val="none"/>
              </w:rPr>
            </w:r>
          </w:p>
          <w:p>
            <w:pPr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highlight w:val="none"/>
              </w:rPr>
            </w:r>
          </w:p>
        </w:tc>
        <w:tc>
          <w:tcPr>
            <w:shd w:val="clear" w:color="ffffff" w:fill="ffffff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2075" w:type="dxa"/>
            <w:vAlign w:val="center"/>
            <w:textDirection w:val="lrTb"/>
            <w:noWrap w:val="false"/>
          </w:tcPr>
          <w:p>
            <w:pPr>
              <w:pStyle w:val="631"/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76х3,5, 30</w:t>
            </w:r>
            <w:r>
              <w:rPr>
                <w:rFonts w:ascii="Times New Roman" w:hAnsi="Times New Roman"/>
              </w:rPr>
            </w:r>
          </w:p>
        </w:tc>
      </w:tr>
    </w:tbl>
    <w:p>
      <w:p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631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632"/>
        <w:contextualSpacing w:val="0"/>
        <w:ind w:left="357" w:hanging="357"/>
        <w:jc w:val="left"/>
        <w:keepLines w:val="0"/>
        <w:keepNext w:val="0"/>
        <w:widowControl w:val="off"/>
        <w:rPr>
          <w:rFonts w:ascii="Times New Roman" w:hAnsi="Times New Roman" w:cs="Times New Roman"/>
          <w:iCs/>
          <w:caps/>
          <w:sz w:val="24"/>
          <w:szCs w:val="24"/>
        </w:rPr>
        <w:suppressLineNumbers w:val="0"/>
      </w:pPr>
      <w:r>
        <w:rPr>
          <w:rFonts w:ascii="Times New Roman" w:hAnsi="Times New Roman" w:eastAsia="Times New Roman" w:cs="Times New Roman"/>
          <w:b/>
          <w:bCs/>
          <w:iCs/>
          <w:sz w:val="24"/>
          <w:szCs w:val="24"/>
        </w:rPr>
        <w:t xml:space="preserve">2. Требования к продукции</w:t>
      </w:r>
      <w:r>
        <w:rPr>
          <w:rFonts w:ascii="Times New Roman" w:hAnsi="Times New Roman" w:cs="Times New Roman"/>
          <w:iCs/>
          <w:caps/>
          <w:sz w:val="24"/>
          <w:szCs w:val="24"/>
        </w:rPr>
      </w:r>
    </w:p>
    <w:p>
      <w:pPr>
        <w:pStyle w:val="635"/>
        <w:contextualSpacing w:val="0"/>
        <w:jc w:val="left"/>
        <w:keepLines w:val="0"/>
        <w:keepNext w:val="0"/>
        <w:widowControl w:val="off"/>
        <w:rPr>
          <w:rFonts w:ascii="Times New Roman" w:hAnsi="Times New Roman" w:cs="Times New Roman"/>
          <w:sz w:val="24"/>
          <w:szCs w:val="24"/>
        </w:rPr>
        <w:suppressLineNumbers w:val="0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2.1 Требования к объемам и срокам оказания услуг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34"/>
        <w:contextualSpacing w:val="0"/>
        <w:jc w:val="left"/>
        <w:keepLines w:val="0"/>
        <w:keepNext w:val="0"/>
        <w:widowControl w:val="off"/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</w:rPr>
        <w:suppressLineNumbers w:val="0"/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2.1.1 Требования к срокам оказания услуг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</w:rPr>
      </w:r>
    </w:p>
    <w:tbl>
      <w:tblPr>
        <w:tblW w:w="10346" w:type="dxa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63"/>
        <w:gridCol w:w="1988"/>
        <w:gridCol w:w="1693"/>
        <w:gridCol w:w="1591"/>
        <w:gridCol w:w="4511"/>
      </w:tblGrid>
      <w:tr>
        <w:tblPrEx/>
        <w:trPr/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3" w:type="dxa"/>
            <w:vAlign w:val="center"/>
            <w:textDirection w:val="lrTb"/>
            <w:noWrap w:val="false"/>
          </w:tcPr>
          <w:p>
            <w:pPr>
              <w:pStyle w:val="631"/>
              <w:contextualSpacing w:val="0"/>
              <w:jc w:val="left"/>
              <w:keepLines w:val="0"/>
              <w:keepNext w:val="0"/>
              <w:widowControl w:val="off"/>
              <w:rPr>
                <w:rFonts w:ascii="Times New Roman" w:hAnsi="Times New Roman"/>
              </w:rPr>
              <w:suppressLineNumbers w:val="0"/>
            </w:pPr>
            <w:r>
              <w:rPr>
                <w:rFonts w:ascii="Times New Roman" w:hAnsi="Times New Roman"/>
              </w:rPr>
              <w:t xml:space="preserve">№ </w:t>
            </w:r>
            <w:r>
              <w:rPr>
                <w:rFonts w:ascii="Times New Roman" w:hAnsi="Times New Roman"/>
              </w:rPr>
              <w:t xml:space="preserve">п/п</w:t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8" w:type="dxa"/>
            <w:vAlign w:val="center"/>
            <w:textDirection w:val="lrTb"/>
            <w:noWrap w:val="false"/>
          </w:tcPr>
          <w:p>
            <w:pPr>
              <w:pStyle w:val="631"/>
              <w:contextualSpacing w:val="0"/>
              <w:jc w:val="left"/>
              <w:keepLines w:val="0"/>
              <w:keepNext w:val="0"/>
              <w:widowControl w:val="off"/>
              <w:rPr>
                <w:rFonts w:ascii="Times New Roman" w:hAnsi="Times New Roman"/>
              </w:rPr>
              <w:suppressLineNumbers w:val="0"/>
            </w:pPr>
            <w:r>
              <w:rPr>
                <w:rFonts w:ascii="Times New Roman" w:hAnsi="Times New Roman"/>
              </w:rPr>
              <w:t xml:space="preserve">Наименование услуг/ этапа услуг</w:t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3" w:type="dxa"/>
            <w:vAlign w:val="center"/>
            <w:textDirection w:val="lrTb"/>
            <w:noWrap w:val="false"/>
          </w:tcPr>
          <w:p>
            <w:pPr>
              <w:pStyle w:val="698"/>
              <w:contextualSpacing w:val="0"/>
              <w:jc w:val="left"/>
              <w:keepLines w:val="0"/>
              <w:keepNext w:val="0"/>
              <w:spacing w:before="40" w:after="40"/>
              <w:widowControl w:val="off"/>
              <w:rPr>
                <w:szCs w:val="22"/>
              </w:rPr>
              <w:suppressLineNumbers w:val="0"/>
            </w:pPr>
            <w:r>
              <w:rPr>
                <w:szCs w:val="22"/>
              </w:rPr>
              <w:t xml:space="preserve">Требования к началу срока оказания услуг/ этапа услуг</w:t>
            </w:r>
            <w:r>
              <w:rPr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91" w:type="dxa"/>
            <w:vAlign w:val="center"/>
            <w:textDirection w:val="lrTb"/>
            <w:noWrap w:val="false"/>
          </w:tcPr>
          <w:p>
            <w:pPr>
              <w:pStyle w:val="698"/>
              <w:contextualSpacing w:val="0"/>
              <w:jc w:val="left"/>
              <w:keepLines w:val="0"/>
              <w:keepNext w:val="0"/>
              <w:spacing w:before="40" w:after="40"/>
              <w:widowControl w:val="off"/>
              <w:rPr>
                <w:szCs w:val="22"/>
              </w:rPr>
              <w:suppressLineNumbers w:val="0"/>
            </w:pPr>
            <w:r>
              <w:rPr>
                <w:szCs w:val="22"/>
              </w:rPr>
              <w:t xml:space="preserve">Требования к окончанию срока выполнения услуг / этапа услуг</w:t>
            </w:r>
            <w:r>
              <w:rPr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11" w:type="dxa"/>
            <w:textDirection w:val="lrTb"/>
            <w:noWrap w:val="false"/>
          </w:tcPr>
          <w:p>
            <w:pPr>
              <w:pStyle w:val="698"/>
              <w:contextualSpacing w:val="0"/>
              <w:jc w:val="left"/>
              <w:keepLines w:val="0"/>
              <w:keepNext w:val="0"/>
              <w:spacing w:before="40" w:after="40"/>
              <w:widowControl w:val="off"/>
              <w:rPr>
                <w:szCs w:val="22"/>
              </w:rPr>
              <w:suppressLineNumbers w:val="0"/>
            </w:pPr>
            <w:r>
              <w:rPr>
                <w:szCs w:val="22"/>
              </w:rPr>
              <w:t xml:space="preserve">Примечание</w:t>
            </w:r>
            <w:r>
              <w:rPr>
                <w:szCs w:val="22"/>
              </w:rPr>
            </w:r>
          </w:p>
        </w:tc>
      </w:tr>
      <w:tr>
        <w:tblPrEx/>
        <w:trPr/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3" w:type="dxa"/>
            <w:textDirection w:val="lrTb"/>
            <w:noWrap w:val="false"/>
          </w:tcPr>
          <w:p>
            <w:pPr>
              <w:pStyle w:val="631"/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</w:t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8" w:type="dxa"/>
            <w:textDirection w:val="lrTb"/>
            <w:noWrap w:val="false"/>
          </w:tcPr>
          <w:p>
            <w:pPr>
              <w:pStyle w:val="631"/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</w:t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3" w:type="dxa"/>
            <w:textDirection w:val="lrTb"/>
            <w:noWrap w:val="false"/>
          </w:tcPr>
          <w:p>
            <w:pPr>
              <w:pStyle w:val="631"/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</w:t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91" w:type="dxa"/>
            <w:textDirection w:val="lrTb"/>
            <w:noWrap w:val="false"/>
          </w:tcPr>
          <w:p>
            <w:pPr>
              <w:pStyle w:val="631"/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</w:t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11" w:type="dxa"/>
            <w:textDirection w:val="lrTb"/>
            <w:noWrap w:val="false"/>
          </w:tcPr>
          <w:p>
            <w:pPr>
              <w:pStyle w:val="631"/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</w:t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2029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3" w:type="dxa"/>
            <w:vAlign w:val="center"/>
            <w:textDirection w:val="lrTb"/>
            <w:noWrap w:val="false"/>
          </w:tcPr>
          <w:p>
            <w:pPr>
              <w:pStyle w:val="697"/>
              <w:numPr>
                <w:ilvl w:val="0"/>
                <w:numId w:val="5"/>
              </w:numPr>
              <w:contextualSpacing/>
              <w:jc w:val="center"/>
              <w:spacing w:before="0" w:after="200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8" w:type="dxa"/>
            <w:vAlign w:val="center"/>
            <w:textDirection w:val="lrTb"/>
            <w:noWrap w:val="false"/>
          </w:tcPr>
          <w:p>
            <w:pPr>
              <w:pStyle w:val="631"/>
              <w:ind w:left="113" w:firstLine="0"/>
              <w:jc w:val="both"/>
              <w:widowControl w:val="off"/>
              <w:tabs>
                <w:tab w:val="left" w:pos="426" w:leader="none"/>
                <w:tab w:val="clear" w:pos="708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ОКПД2 71.20.12.000 Оказание услуг по продлению срока безопасной эксплуатации технологических трубопроводов, для нужд СП, расположенных в Хабаровском крае, Приморском крае, Амурской области и Республике Саха (Якутия).</w:t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3" w:type="dxa"/>
            <w:vAlign w:val="center"/>
            <w:textDirection w:val="lrTb"/>
            <w:noWrap w:val="false"/>
          </w:tcPr>
          <w:p>
            <w:pPr>
              <w:pStyle w:val="631"/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 даты подписания договора </w:t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91" w:type="dxa"/>
            <w:vAlign w:val="center"/>
            <w:textDirection w:val="lrTb"/>
            <w:noWrap w:val="false"/>
          </w:tcPr>
          <w:p>
            <w:pPr>
              <w:pStyle w:val="631"/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31.12.2026</w:t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11" w:type="dxa"/>
            <w:vAlign w:val="center"/>
            <w:textDirection w:val="lrTb"/>
            <w:noWrap w:val="false"/>
          </w:tcPr>
          <w:p>
            <w:pPr>
              <w:pStyle w:val="631"/>
              <w:jc w:val="center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 соответствии с заявкой Заказчика. </w:t>
            </w:r>
            <w:r>
              <w:rPr>
                <w:rFonts w:ascii="Times New Roman" w:hAnsi="Times New Roman" w:eastAsia="Calibri"/>
              </w:rPr>
              <w:t xml:space="preserve">Заказчик вправе внести изменения в сроки начала оказания услуг без наложения штрафных сан</w:t>
            </w:r>
            <w:r>
              <w:rPr>
                <w:rFonts w:ascii="Times New Roman" w:hAnsi="Times New Roman" w:eastAsia="Calibri"/>
              </w:rPr>
              <w:t xml:space="preserve">кций, своевременно предупредив Исполнителя в письменной форме, не позднее 1 числа месяца, предшествующего началу оказания услуг.  Срок проведения экспертизы определяется сложностью объекта экспертизы, но не должен превышать трех месяцев с момента проведени</w:t>
            </w:r>
            <w:r>
              <w:rPr>
                <w:rFonts w:ascii="Times New Roman" w:hAnsi="Times New Roman" w:eastAsia="Calibri"/>
              </w:rPr>
              <w:t xml:space="preserve">я технического диагностирования, в ходе которого Исполнитель получает от Заказчика комплект необходимых материалов и документов согласно утвержденному Перечню, представленному Исполнителем Заказчику, при направлении программы технического диагностирования.</w:t>
            </w:r>
            <w:r>
              <w:rPr>
                <w:rFonts w:ascii="Times New Roman" w:hAnsi="Times New Roman"/>
              </w:rPr>
            </w:r>
          </w:p>
        </w:tc>
      </w:tr>
    </w:tbl>
    <w:p>
      <w:pPr>
        <w:sectPr>
          <w:footnotePr/>
          <w:endnotePr/>
          <w:type w:val="nextPage"/>
          <w:pgSz w:w="11906" w:h="16838" w:orient="portrait"/>
          <w:pgMar w:top="1134" w:right="426" w:bottom="992" w:left="1134" w:header="0" w:footer="0" w:gutter="0"/>
          <w:cols w:num="1" w:sep="0" w:space="1701" w:equalWidth="1"/>
          <w:docGrid w:linePitch="360"/>
          <w:titlePg/>
        </w:sectPr>
      </w:pPr>
      <w:r/>
      <w:r/>
    </w:p>
    <w:p>
      <w:pPr>
        <w:pStyle w:val="6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2.2 </w:t>
      </w:r>
      <w:bookmarkStart w:id="2" w:name="undefined_Копия_2"/>
      <w:r>
        <w:rPr>
          <w:rFonts w:ascii="Times New Roman" w:hAnsi="Times New Roman" w:eastAsia="Times New Roman" w:cs="Times New Roman"/>
          <w:sz w:val="24"/>
          <w:szCs w:val="24"/>
        </w:rPr>
        <w:t xml:space="preserve">Требования к качеству продукции</w:t>
      </w:r>
      <w:bookmarkEnd w:id="2"/>
      <w:r/>
      <w:r>
        <w:rPr>
          <w:rFonts w:ascii="Times New Roman" w:hAnsi="Times New Roman" w:cs="Times New Roman"/>
          <w:sz w:val="24"/>
          <w:szCs w:val="24"/>
        </w:rPr>
      </w:r>
    </w:p>
    <w:p>
      <w:pPr>
        <w:pStyle w:val="632"/>
        <w:spacing w:before="240" w:after="200"/>
        <w:rPr>
          <w:rFonts w:ascii="Times New Roman" w:hAnsi="Times New Roman" w:cs="Times New Roman"/>
          <w:sz w:val="24"/>
          <w:szCs w:val="24"/>
        </w:rPr>
      </w:pPr>
      <w:r/>
      <w:bookmarkStart w:id="3" w:name="undefined_Копия_3"/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Таблица 4. Требования к качеству продукции</w:t>
      </w:r>
      <w:bookmarkEnd w:id="3"/>
      <w:r/>
      <w:r>
        <w:rPr>
          <w:rFonts w:ascii="Times New Roman" w:hAnsi="Times New Roman" w:cs="Times New Roman"/>
          <w:sz w:val="24"/>
          <w:szCs w:val="24"/>
        </w:rPr>
      </w:r>
    </w:p>
    <w:p>
      <w:pPr>
        <w:pStyle w:val="631"/>
        <w:jc w:val="both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Наименование услуг/этапа услуг (Таблицы 2): </w:t>
      </w:r>
      <w:r>
        <w:rPr>
          <w:rFonts w:ascii="Times New Roman" w:hAnsi="Times New Roman" w:eastAsia="Times New Roman" w:cs="Times New Roman"/>
          <w:b/>
          <w:bCs/>
        </w:rPr>
        <w:t xml:space="preserve">ОКПД2 71.20.12.000 Оказание услуг по продлению срока безопасной эксплуатации технологических трубопроводов, для нужд СП, расположенных в Хабаровском крае, Приморском крае, Амурской области и Республике Саха (Якутия).</w:t>
      </w:r>
      <w:r>
        <w:rPr>
          <w:rFonts w:ascii="Times New Roman" w:hAnsi="Times New Roman" w:cs="Times New Roman"/>
          <w:i/>
          <w:iCs/>
        </w:rPr>
      </w:r>
    </w:p>
    <w:tbl>
      <w:tblPr>
        <w:tblW w:w="15590" w:type="dxa"/>
        <w:tblInd w:w="-5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899"/>
        <w:gridCol w:w="2105"/>
        <w:gridCol w:w="7308"/>
        <w:gridCol w:w="3173"/>
        <w:gridCol w:w="2105"/>
      </w:tblGrid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899" w:type="dxa"/>
            <w:vAlign w:val="center"/>
            <w:vMerge w:val="restart"/>
            <w:textDirection w:val="lrTb"/>
            <w:noWrap w:val="false"/>
          </w:tcPr>
          <w:p>
            <w:pPr>
              <w:pStyle w:val="631"/>
              <w:jc w:val="center"/>
              <w:widowControl w:val="off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п/п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2105" w:type="dxa"/>
            <w:vAlign w:val="center"/>
            <w:vMerge w:val="restart"/>
            <w:textDirection w:val="lrTb"/>
            <w:noWrap w:val="false"/>
          </w:tcPr>
          <w:p>
            <w:pPr>
              <w:pStyle w:val="631"/>
              <w:jc w:val="center"/>
              <w:widowControl w:val="off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Наименование параметра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7308" w:type="dxa"/>
            <w:vAlign w:val="center"/>
            <w:vMerge w:val="restart"/>
            <w:textDirection w:val="lrTb"/>
            <w:noWrap w:val="false"/>
          </w:tcPr>
          <w:p>
            <w:pPr>
              <w:pStyle w:val="631"/>
              <w:jc w:val="center"/>
              <w:widowControl w:val="off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Требование заказчика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5278" w:type="dxa"/>
            <w:vAlign w:val="center"/>
            <w:textDirection w:val="lrTb"/>
            <w:noWrap w:val="false"/>
          </w:tcPr>
          <w:p>
            <w:pPr>
              <w:pStyle w:val="631"/>
              <w:jc w:val="center"/>
              <w:widowControl w:val="off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Способ подтверждения участником соответствия требованиям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899" w:type="dxa"/>
            <w:vAlign w:val="center"/>
            <w:vMerge w:val="continue"/>
            <w:textDirection w:val="lrTb"/>
            <w:noWrap w:val="false"/>
          </w:tcPr>
          <w:p>
            <w:pPr>
              <w:pStyle w:val="631"/>
              <w:widowControl w:val="off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2105" w:type="dxa"/>
            <w:vAlign w:val="center"/>
            <w:vMerge w:val="continue"/>
            <w:textDirection w:val="lrTb"/>
            <w:noWrap w:val="false"/>
          </w:tcPr>
          <w:p>
            <w:pPr>
              <w:pStyle w:val="631"/>
              <w:widowControl w:val="off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7308" w:type="dxa"/>
            <w:vAlign w:val="center"/>
            <w:vMerge w:val="continue"/>
            <w:textDirection w:val="lrTb"/>
            <w:noWrap w:val="false"/>
          </w:tcPr>
          <w:p>
            <w:pPr>
              <w:pStyle w:val="631"/>
              <w:widowControl w:val="off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Borders>
              <w:left w:val="single" w:color="000000" w:sz="8" w:space="0"/>
            </w:tcBorders>
            <w:tcW w:w="3173" w:type="dxa"/>
            <w:vAlign w:val="center"/>
            <w:textDirection w:val="lrTb"/>
            <w:noWrap w:val="false"/>
          </w:tcPr>
          <w:p>
            <w:pPr>
              <w:pStyle w:val="631"/>
              <w:jc w:val="center"/>
              <w:widowControl w:val="off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Согласие с требованием/ указание характеристик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2105" w:type="dxa"/>
            <w:vAlign w:val="center"/>
            <w:textDirection w:val="lrTb"/>
            <w:noWrap w:val="false"/>
          </w:tcPr>
          <w:p>
            <w:pPr>
              <w:pStyle w:val="631"/>
              <w:jc w:val="center"/>
              <w:widowControl w:val="off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Предоставление подтверждающего документа или иной способ подтверждения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899" w:type="dxa"/>
            <w:vAlign w:val="center"/>
            <w:textDirection w:val="lrTb"/>
            <w:noWrap w:val="false"/>
          </w:tcPr>
          <w:p>
            <w:pPr>
              <w:pStyle w:val="631"/>
              <w:jc w:val="center"/>
              <w:widowControl w:val="off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2105" w:type="dxa"/>
            <w:vAlign w:val="center"/>
            <w:textDirection w:val="lrTb"/>
            <w:noWrap w:val="false"/>
          </w:tcPr>
          <w:p>
            <w:pPr>
              <w:pStyle w:val="631"/>
              <w:jc w:val="center"/>
              <w:widowControl w:val="off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7308" w:type="dxa"/>
            <w:vAlign w:val="center"/>
            <w:textDirection w:val="lrTb"/>
            <w:noWrap w:val="false"/>
          </w:tcPr>
          <w:p>
            <w:pPr>
              <w:pStyle w:val="631"/>
              <w:jc w:val="center"/>
              <w:widowControl w:val="off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3173" w:type="dxa"/>
            <w:vAlign w:val="center"/>
            <w:textDirection w:val="lrTb"/>
            <w:noWrap w:val="false"/>
          </w:tcPr>
          <w:p>
            <w:pPr>
              <w:pStyle w:val="631"/>
              <w:jc w:val="center"/>
              <w:widowControl w:val="off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2105" w:type="dxa"/>
            <w:vAlign w:val="center"/>
            <w:textDirection w:val="lrTb"/>
            <w:noWrap w:val="false"/>
          </w:tcPr>
          <w:p>
            <w:pPr>
              <w:pStyle w:val="631"/>
              <w:jc w:val="center"/>
              <w:widowControl w:val="off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899" w:type="dxa"/>
            <w:vAlign w:val="center"/>
            <w:textDirection w:val="lrTb"/>
            <w:noWrap w:val="false"/>
          </w:tcPr>
          <w:p>
            <w:pPr>
              <w:pStyle w:val="697"/>
              <w:numPr>
                <w:ilvl w:val="0"/>
                <w:numId w:val="1"/>
              </w:numPr>
              <w:contextualSpacing/>
              <w:jc w:val="center"/>
              <w:spacing w:before="60" w:after="60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9413" w:type="dxa"/>
            <w:vAlign w:val="center"/>
            <w:textDirection w:val="lrTb"/>
            <w:noWrap w:val="false"/>
          </w:tcPr>
          <w:p>
            <w:pPr>
              <w:pStyle w:val="631"/>
              <w:widowControl w:val="o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Требования к оказанию услуг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3173" w:type="dxa"/>
            <w:textDirection w:val="lrTb"/>
            <w:noWrap w:val="false"/>
          </w:tcPr>
          <w:p>
            <w:pPr>
              <w:pStyle w:val="631"/>
              <w:jc w:val="center"/>
              <w:keepNext/>
              <w:spacing w:before="60" w:after="60"/>
              <w:widowControl w:val="o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-//-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2105" w:type="dxa"/>
            <w:textDirection w:val="lrTb"/>
            <w:noWrap w:val="false"/>
          </w:tcPr>
          <w:p>
            <w:pPr>
              <w:pStyle w:val="631"/>
              <w:jc w:val="center"/>
              <w:keepNext/>
              <w:spacing w:before="60" w:after="60"/>
              <w:widowControl w:val="o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-//-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899" w:type="dxa"/>
            <w:vAlign w:val="center"/>
            <w:textDirection w:val="lrTb"/>
            <w:noWrap w:val="false"/>
          </w:tcPr>
          <w:p>
            <w:pPr>
              <w:pStyle w:val="697"/>
              <w:numPr>
                <w:ilvl w:val="1"/>
                <w:numId w:val="1"/>
              </w:numPr>
              <w:contextualSpacing/>
              <w:ind w:left="-117" w:firstLine="142"/>
              <w:jc w:val="center"/>
              <w:spacing w:before="60" w:after="60"/>
              <w:widowControl w:val="off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</w:r>
            <w:r>
              <w:rPr>
                <w:rFonts w:ascii="Times New Roman" w:hAnsi="Times New Roman" w:cs="Times New Roman"/>
                <w:b/>
                <w:bCs/>
              </w:rPr>
            </w:r>
          </w:p>
        </w:tc>
        <w:tc>
          <w:tcPr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9413" w:type="dxa"/>
            <w:vAlign w:val="center"/>
            <w:textDirection w:val="lrTb"/>
            <w:noWrap w:val="false"/>
          </w:tcPr>
          <w:p>
            <w:pPr>
              <w:pStyle w:val="631"/>
              <w:spacing w:before="60" w:after="60"/>
              <w:widowControl w:val="o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Общие требования к оказанию услуг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3173" w:type="dxa"/>
            <w:textDirection w:val="lrTb"/>
            <w:noWrap w:val="false"/>
          </w:tcPr>
          <w:p>
            <w:pPr>
              <w:pStyle w:val="631"/>
              <w:jc w:val="center"/>
              <w:keepNext/>
              <w:spacing w:before="60" w:after="60"/>
              <w:widowControl w:val="o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-//-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2105" w:type="dxa"/>
            <w:textDirection w:val="lrTb"/>
            <w:noWrap w:val="false"/>
          </w:tcPr>
          <w:p>
            <w:pPr>
              <w:pStyle w:val="631"/>
              <w:jc w:val="center"/>
              <w:keepNext/>
              <w:spacing w:before="60" w:after="60"/>
              <w:widowControl w:val="o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-//-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899" w:type="dxa"/>
            <w:vAlign w:val="center"/>
            <w:textDirection w:val="lrTb"/>
            <w:noWrap w:val="false"/>
          </w:tcPr>
          <w:p>
            <w:pPr>
              <w:pStyle w:val="697"/>
              <w:numPr>
                <w:ilvl w:val="2"/>
                <w:numId w:val="1"/>
              </w:numPr>
              <w:contextualSpacing/>
              <w:ind w:left="1224" w:hanging="1199"/>
              <w:jc w:val="center"/>
              <w:spacing w:before="60" w:after="60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ffffff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2105" w:type="dxa"/>
            <w:textDirection w:val="lrTb"/>
            <w:noWrap w:val="false"/>
          </w:tcPr>
          <w:p>
            <w:pPr>
              <w:pStyle w:val="631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Соблюдение при оказании услуг норм и правил нормативно-технических документов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7308" w:type="dxa"/>
            <w:textDirection w:val="lrTb"/>
            <w:noWrap w:val="false"/>
          </w:tcPr>
          <w:p>
            <w:pPr>
              <w:pStyle w:val="631"/>
              <w:jc w:val="both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Услуги должны проводиться в соответствии с действующими нормативными документами: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631"/>
              <w:jc w:val="both"/>
              <w:widowControl w:val="off"/>
              <w:tabs>
                <w:tab w:val="left" w:pos="470" w:leader="none"/>
                <w:tab w:val="clear" w:pos="708" w:leader="none"/>
                <w:tab w:val="left" w:pos="1037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Федеральный закон от 21.07.1997 №116-ФЗ (действующая редакция) «О промышленной безопасности опасных производственных объектов»;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697"/>
              <w:contextualSpacing/>
              <w:ind w:left="0" w:firstLine="0"/>
              <w:jc w:val="both"/>
              <w:spacing w:before="0" w:after="0"/>
              <w:widowControl w:val="off"/>
              <w:tabs>
                <w:tab w:val="left" w:pos="470" w:leader="none"/>
                <w:tab w:val="clear" w:pos="708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Федеральный закон от 27.12.2002 №184-ФЗ (действующая редакция) «О техническом регулировании»;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631"/>
              <w:jc w:val="both"/>
              <w:widowControl w:val="off"/>
              <w:tabs>
                <w:tab w:val="left" w:pos="470" w:leader="none"/>
                <w:tab w:val="clear" w:pos="708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Федеральные нормы и прав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ила в области промышленной безопасности «Правила промышленной безопасности опасных производственных объектов, на которых используется оборудование, работающее под избыточным давлением» (утв. Приказом Ростехнадзора от 15.12.2020 №536, действующая редакция);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631"/>
              <w:numPr>
                <w:ilvl w:val="0"/>
                <w:numId w:val="2"/>
              </w:numPr>
              <w:jc w:val="both"/>
              <w:widowControl w:val="off"/>
              <w:tabs>
                <w:tab w:val="left" w:pos="470" w:leader="none"/>
                <w:tab w:val="clear" w:pos="708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Федеральные нормы и правила в области промышленной безопасности «Правила промышленной безопасности складов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4"/>
                <w:szCs w:val="24"/>
              </w:rPr>
              <w:t xml:space="preserve">нефти и нефтепродуктов» (утв. Приказом Ростехнадзора от 15.12.2020 №529, действующая редакция);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631"/>
              <w:numPr>
                <w:ilvl w:val="0"/>
                <w:numId w:val="2"/>
              </w:numPr>
              <w:jc w:val="both"/>
              <w:widowControl w:val="off"/>
              <w:tabs>
                <w:tab w:val="left" w:pos="470" w:leader="none"/>
                <w:tab w:val="clear" w:pos="708" w:leader="none"/>
              </w:tabs>
              <w:rPr>
                <w:i w:val="0"/>
                <w:iCs w:val="0"/>
                <w:color w:val="auto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4"/>
                <w:szCs w:val="24"/>
              </w:rPr>
              <w:t xml:space="preserve">Федеральн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4"/>
                <w:szCs w:val="24"/>
              </w:rPr>
              <w:t xml:space="preserve">ые нормы и правила в области промышленной безопасности «Правила безопасной эксплуатации технологических трубопроводов», утвержденных приказом Федеральной службы по экологическому, технологическому и атомному надзору от 21.12.2021г. № 444 (далее – ФНП-444);</w:t>
            </w:r>
            <w:r>
              <w:rPr>
                <w:i w:val="0"/>
                <w:iCs w:val="0"/>
                <w:color w:val="auto"/>
              </w:rPr>
            </w:r>
          </w:p>
          <w:p>
            <w:pPr>
              <w:pStyle w:val="631"/>
              <w:numPr>
                <w:ilvl w:val="0"/>
                <w:numId w:val="2"/>
              </w:numPr>
              <w:jc w:val="both"/>
              <w:widowControl w:val="off"/>
              <w:tabs>
                <w:tab w:val="left" w:pos="470" w:leader="none"/>
                <w:tab w:val="clear" w:pos="708" w:leader="none"/>
              </w:tabs>
              <w:rPr>
                <w:i w:val="0"/>
                <w:iCs w:val="0"/>
                <w:color w:val="auto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4"/>
                <w:szCs w:val="24"/>
              </w:rPr>
              <w:t xml:space="preserve">Федеральные нормы и правила в области промышлен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4"/>
                <w:szCs w:val="24"/>
              </w:rPr>
              <w:t xml:space="preserve">ной безопасности "Общие правила взрывобезопасности для взрывопожароопасных химических, нефтехимических и нефтеперерабатывающих производств", утвержденные приказом Федеральной службы по экологическому, технологическому и атомному надзору от 15.12.2020 №533;</w:t>
            </w:r>
            <w:r>
              <w:rPr>
                <w:i w:val="0"/>
                <w:iCs w:val="0"/>
                <w:color w:val="auto"/>
              </w:rPr>
            </w:r>
          </w:p>
          <w:p>
            <w:pPr>
              <w:pStyle w:val="697"/>
              <w:numPr>
                <w:ilvl w:val="0"/>
                <w:numId w:val="2"/>
              </w:numPr>
              <w:contextualSpacing/>
              <w:jc w:val="both"/>
              <w:spacing w:before="0" w:after="0"/>
              <w:widowControl w:val="off"/>
              <w:tabs>
                <w:tab w:val="left" w:pos="470" w:leader="none"/>
                <w:tab w:val="clear" w:pos="708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Правила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технической эксплуатации электрических станций и сетей Российской Федерации и о внесении изменений в приказы Минэнерго России от 13 сентября 2018 г. №757, от 12 июля 2018 г. №548» (утв. Приказом Минэнерго России от 04.10.2022 №1070, действующая редакция);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631"/>
              <w:numPr>
                <w:ilvl w:val="0"/>
                <w:numId w:val="2"/>
              </w:numPr>
              <w:jc w:val="both"/>
              <w:widowControl w:val="off"/>
              <w:tabs>
                <w:tab w:val="left" w:pos="470" w:leader="none"/>
                <w:tab w:val="clear" w:pos="708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Федеральные нормы и правила в области промышленной безопасности «Правила проведения экспертизы промышленной безопасности» (утв. Приказом Ростехнадзора от 20.10.2020 г. №420, действующая редакция);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631"/>
              <w:numPr>
                <w:ilvl w:val="0"/>
                <w:numId w:val="2"/>
              </w:numPr>
              <w:jc w:val="both"/>
              <w:widowControl w:val="off"/>
              <w:tabs>
                <w:tab w:val="left" w:pos="470" w:leader="none"/>
                <w:tab w:val="clear" w:pos="708" w:leader="none"/>
                <w:tab w:val="left" w:pos="70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Федеральные нормы и п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равила в области промышленной безопасности «Основные требования к проведению неразрушающего контроля технических устройств, зданий и сооружений на опасных производственных объектах» (утв. Приказом Ростехнадзора от 01.12.2020 г. №478, действующая редакция);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631"/>
              <w:numPr>
                <w:ilvl w:val="0"/>
                <w:numId w:val="2"/>
              </w:numPr>
              <w:jc w:val="both"/>
              <w:widowControl w:val="off"/>
              <w:tabs>
                <w:tab w:val="left" w:pos="360" w:leader="none"/>
                <w:tab w:val="left" w:pos="470" w:leader="none"/>
                <w:tab w:val="clear" w:pos="708" w:leader="none"/>
                <w:tab w:val="left" w:pos="70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РД 13-03-2006 «Методические рекомендации о порядке проведения вихретокового контроля технических устройств и сооружений, применяемых и эксплуатируемых на опасных производственных объектах» (утв. Приказом Ростехнадзора от 13.12.2006 №1072);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631"/>
              <w:numPr>
                <w:ilvl w:val="0"/>
                <w:numId w:val="2"/>
              </w:numPr>
              <w:jc w:val="both"/>
              <w:widowControl w:val="off"/>
              <w:tabs>
                <w:tab w:val="left" w:pos="360" w:leader="none"/>
                <w:tab w:val="left" w:pos="470" w:leader="none"/>
                <w:tab w:val="clear" w:pos="708" w:leader="none"/>
                <w:tab w:val="left" w:pos="70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РД 13-05-2006 «Методические рекомендации о порядке проведения магнитопорошкового контроля технических устройств и сооружений, применяемых и эксплуатируемых на опасных производственных объектах» (утв. Приказом Ростехнадзора от 13.12.2006 №1072);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631"/>
              <w:numPr>
                <w:ilvl w:val="0"/>
                <w:numId w:val="2"/>
              </w:numPr>
              <w:jc w:val="both"/>
              <w:widowControl w:val="off"/>
              <w:tabs>
                <w:tab w:val="left" w:pos="360" w:leader="none"/>
                <w:tab w:val="left" w:pos="470" w:leader="none"/>
                <w:tab w:val="clear" w:pos="708" w:leader="none"/>
                <w:tab w:val="left" w:pos="70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РД 13-06-2006 «Методические рекомендации о порядке проведения капиллярного контроля технических устройств и сооружений, применяемых и эксплуатируемых на опасных производственных объектах» (утв. Приказом Ростехнадзора от 13.12.2006 №1072);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631"/>
              <w:numPr>
                <w:ilvl w:val="0"/>
                <w:numId w:val="2"/>
              </w:numPr>
              <w:jc w:val="both"/>
              <w:widowControl w:val="off"/>
              <w:tabs>
                <w:tab w:val="left" w:pos="360" w:leader="none"/>
                <w:tab w:val="left" w:pos="470" w:leader="none"/>
                <w:tab w:val="clear" w:pos="708" w:leader="none"/>
                <w:tab w:val="left" w:pos="70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Инструкция по визуальному и измерительному контролю. РД 34.10.130-96 (утв. Минтопэнерго РФ 15.08.1996);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631"/>
              <w:numPr>
                <w:ilvl w:val="0"/>
                <w:numId w:val="2"/>
              </w:numPr>
              <w:jc w:val="both"/>
              <w:widowControl w:val="off"/>
              <w:tabs>
                <w:tab w:val="left" w:pos="360" w:leader="none"/>
                <w:tab w:val="left" w:pos="470" w:leader="none"/>
                <w:tab w:val="clear" w:pos="708" w:leader="none"/>
                <w:tab w:val="left" w:pos="70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Инструкция по диагностике и оценке остаточного ресурса стальных вертикальных резервуаров (РД 153-112-017-97);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631"/>
              <w:numPr>
                <w:ilvl w:val="0"/>
                <w:numId w:val="2"/>
              </w:numPr>
              <w:jc w:val="both"/>
              <w:widowControl w:val="off"/>
              <w:tabs>
                <w:tab w:val="left" w:pos="360" w:leader="none"/>
                <w:tab w:val="left" w:pos="470" w:leader="none"/>
                <w:tab w:val="clear" w:pos="708" w:leader="none"/>
                <w:tab w:val="left" w:pos="70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ГОСТ 14249-89. Межгосударственный стандарт. Сосуды и аппараты. Нормы и методы расчета на прочность (утв. и введен в действие Постановлением Госстандарта СССР от 18.05.1989 №1264);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631"/>
              <w:numPr>
                <w:ilvl w:val="0"/>
                <w:numId w:val="2"/>
              </w:numPr>
              <w:jc w:val="both"/>
              <w:widowControl w:val="off"/>
              <w:tabs>
                <w:tab w:val="left" w:pos="360" w:leader="none"/>
                <w:tab w:val="left" w:pos="470" w:leader="none"/>
                <w:tab w:val="clear" w:pos="708" w:leader="none"/>
                <w:tab w:val="left" w:pos="70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СДАНК-01-2020. Правила аттестац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ии и основные требования к лабораториям неразрушающего контроля, приняты Решением Наблюдательного совета Единой системы оценки соответствия в области промышленной, экологической безопасности, безопасности в энергетике и строительстве от 29.12.2020 №99-БНС;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631"/>
              <w:numPr>
                <w:ilvl w:val="0"/>
                <w:numId w:val="2"/>
              </w:numPr>
              <w:jc w:val="both"/>
              <w:widowControl w:val="off"/>
              <w:tabs>
                <w:tab w:val="left" w:pos="360" w:leader="none"/>
                <w:tab w:val="left" w:pos="470" w:leader="none"/>
                <w:tab w:val="clear" w:pos="708" w:leader="none"/>
                <w:tab w:val="left" w:pos="70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Постановление Правительства РФ от 02.06.2022 №1009 «Об аттестации экспертов в области промышленной безопасности»,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631"/>
              <w:numPr>
                <w:ilvl w:val="0"/>
                <w:numId w:val="2"/>
              </w:numPr>
              <w:jc w:val="both"/>
              <w:widowControl w:val="off"/>
              <w:tabs>
                <w:tab w:val="left" w:pos="360" w:leader="none"/>
                <w:tab w:val="left" w:pos="470" w:leader="none"/>
                <w:tab w:val="clear" w:pos="708" w:leader="none"/>
                <w:tab w:val="left" w:pos="70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Приказ Ростехнадзора от 31.08.2022 №287 «О присвоении буквенно-цифровых обозначений областям аттестации экспертов в области промышленной безопасности»;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631"/>
              <w:numPr>
                <w:ilvl w:val="0"/>
                <w:numId w:val="2"/>
              </w:numPr>
              <w:jc w:val="both"/>
              <w:widowControl w:val="off"/>
              <w:tabs>
                <w:tab w:val="left" w:pos="360" w:leader="none"/>
                <w:tab w:val="left" w:pos="470" w:leader="none"/>
                <w:tab w:val="clear" w:pos="708" w:leader="none"/>
                <w:tab w:val="left" w:pos="70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Правила по охране труда при работе на высоте, утв. Приказом Минтруда России от 16.11.2020 №782н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631"/>
              <w:numPr>
                <w:ilvl w:val="0"/>
                <w:numId w:val="2"/>
              </w:numPr>
              <w:jc w:val="both"/>
              <w:widowControl w:val="off"/>
              <w:tabs>
                <w:tab w:val="left" w:pos="360" w:leader="none"/>
                <w:tab w:val="left" w:pos="470" w:leader="none"/>
                <w:tab w:val="clear" w:pos="708" w:leader="none"/>
                <w:tab w:val="left" w:pos="70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ГОСТ 32388-2013 Трубопроводы технологические. Нормы и методы расчета на прочность, вибрацию и сейсмические воздействия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631"/>
              <w:numPr>
                <w:ilvl w:val="0"/>
                <w:numId w:val="2"/>
              </w:numPr>
              <w:jc w:val="both"/>
              <w:widowControl w:val="off"/>
              <w:tabs>
                <w:tab w:val="left" w:pos="360" w:leader="none"/>
                <w:tab w:val="left" w:pos="470" w:leader="none"/>
                <w:tab w:val="clear" w:pos="708" w:leader="none"/>
                <w:tab w:val="left" w:pos="70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ГОСТ 31937-2011 Здания и сооружения. Правила обследования и мониторинга технического состояния и другая нормативная документация, устанавливающая требования и методики контроля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согласно настоящим ТТ;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697"/>
              <w:numPr>
                <w:ilvl w:val="0"/>
                <w:numId w:val="2"/>
              </w:numPr>
              <w:contextualSpacing/>
              <w:jc w:val="both"/>
              <w:spacing w:before="0" w:after="0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ГОСТ 32569-2013 Трубопроводы технологические стальные. Требования к устройству и эксплуатации на взрывопожароопасных и химически опасных производствах (далее ГОСТ 32569-2013);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697"/>
              <w:numPr>
                <w:ilvl w:val="0"/>
                <w:numId w:val="2"/>
              </w:numPr>
              <w:contextualSpacing/>
              <w:jc w:val="both"/>
              <w:spacing w:before="0" w:after="0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ГОСТ 31937-2024 «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ЗДАНИЯ И СООРУЖЕНИЯ. Правила обследования и мониторинга технического состояния»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631"/>
              <w:jc w:val="both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  <w:t xml:space="preserve">Другие нормативные акты в области промышленной безопасности, в том числе, вступившие в силу до окончания оказания услуг.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3173" w:type="dxa"/>
            <w:textDirection w:val="lrTb"/>
            <w:noWrap w:val="false"/>
          </w:tcPr>
          <w:p>
            <w:pPr>
              <w:pStyle w:val="631"/>
              <w:jc w:val="center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предложения, установленной в Документации о закупке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2105" w:type="dxa"/>
            <w:textDirection w:val="lrTb"/>
            <w:noWrap w:val="false"/>
          </w:tcPr>
          <w:p>
            <w:pPr>
              <w:pStyle w:val="699"/>
              <w:numPr>
                <w:ilvl w:val="0"/>
                <w:numId w:val="0"/>
              </w:numPr>
              <w:jc w:val="left"/>
              <w:keepNext w:val="0"/>
              <w:spacing w:before="0" w:after="0"/>
              <w:widowControl w:val="off"/>
              <w:outlineLvl w:val="2"/>
            </w:pPr>
            <w:r/>
            <w:r/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899" w:type="dxa"/>
            <w:vAlign w:val="center"/>
            <w:textDirection w:val="lrTb"/>
            <w:noWrap w:val="false"/>
          </w:tcPr>
          <w:p>
            <w:pPr>
              <w:pStyle w:val="697"/>
              <w:numPr>
                <w:ilvl w:val="1"/>
                <w:numId w:val="1"/>
              </w:numPr>
              <w:contextualSpacing/>
              <w:ind w:left="-117" w:firstLine="142"/>
              <w:jc w:val="center"/>
              <w:spacing w:before="60" w:after="60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shd w:val="clear" w:color="ffffff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9413" w:type="dxa"/>
            <w:textDirection w:val="lrTb"/>
            <w:noWrap w:val="false"/>
          </w:tcPr>
          <w:p>
            <w:pPr>
              <w:pStyle w:val="631"/>
              <w:jc w:val="both"/>
              <w:spacing w:before="60" w:after="200"/>
              <w:widowControl w:val="off"/>
              <w:tabs>
                <w:tab w:val="left" w:pos="426" w:leader="none"/>
                <w:tab w:val="clear" w:pos="708" w:leader="none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Требования к способам оказания услуг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3173" w:type="dxa"/>
            <w:textDirection w:val="lrTb"/>
            <w:noWrap w:val="false"/>
          </w:tcPr>
          <w:p>
            <w:pPr>
              <w:pStyle w:val="631"/>
              <w:jc w:val="center"/>
              <w:keepNext/>
              <w:spacing w:before="60" w:after="60"/>
              <w:widowControl w:val="o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-//-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2105" w:type="dxa"/>
            <w:textDirection w:val="lrTb"/>
            <w:noWrap w:val="false"/>
          </w:tcPr>
          <w:p>
            <w:pPr>
              <w:pStyle w:val="631"/>
              <w:jc w:val="center"/>
              <w:keepNext/>
              <w:spacing w:before="60" w:after="60"/>
              <w:widowControl w:val="o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-//-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899" w:type="dxa"/>
            <w:vAlign w:val="center"/>
            <w:textDirection w:val="lrTb"/>
            <w:noWrap w:val="false"/>
          </w:tcPr>
          <w:p>
            <w:pPr>
              <w:pStyle w:val="697"/>
              <w:numPr>
                <w:ilvl w:val="2"/>
                <w:numId w:val="1"/>
              </w:numPr>
              <w:contextualSpacing/>
              <w:ind w:left="1224" w:hanging="1199"/>
              <w:jc w:val="center"/>
              <w:spacing w:before="60" w:after="60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ffffff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2105" w:type="dxa"/>
            <w:textDirection w:val="lrTb"/>
            <w:noWrap w:val="false"/>
          </w:tcPr>
          <w:p>
            <w:pPr>
              <w:pStyle w:val="631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Непосредственное участие персонала Исполнителя в оказании услуг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7308" w:type="dxa"/>
            <w:textDirection w:val="lrTb"/>
            <w:noWrap w:val="false"/>
          </w:tcPr>
          <w:p>
            <w:pPr>
              <w:pStyle w:val="631"/>
              <w:jc w:val="both"/>
              <w:spacing w:before="60" w:after="200"/>
              <w:widowControl w:val="off"/>
              <w:tabs>
                <w:tab w:val="left" w:pos="426" w:leader="none"/>
                <w:tab w:val="clear" w:pos="708" w:leader="none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При оказании услуг, Исполнитель осуществляет выезды на каждый объект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с целью предварительного осмотра и сбора информации для подготовки и согласования программы обследования для каждого объекта экспертизы, проведения экспертизы промышленной безопасности после согласования программы.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3173" w:type="dxa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jc w:val="center"/>
              <w:widowControl w:val="off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jc w:val="center"/>
              <w:widowControl w:val="off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pStyle w:val="631"/>
              <w:jc w:val="center"/>
              <w:widowControl w:val="off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предложения, установленной в Документации о закупке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  <w:p>
            <w:r/>
            <w:r/>
          </w:p>
        </w:tc>
        <w:tc>
          <w:tcPr>
            <w:shd w:val="clear" w:color="ffffff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2105" w:type="dxa"/>
            <w:textDirection w:val="lrTb"/>
            <w:noWrap w:val="false"/>
          </w:tcPr>
          <w:p>
            <w:pPr>
              <w:pStyle w:val="631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899" w:type="dxa"/>
            <w:vAlign w:val="center"/>
            <w:textDirection w:val="lrTb"/>
            <w:noWrap w:val="false"/>
          </w:tcPr>
          <w:p>
            <w:pPr>
              <w:pStyle w:val="697"/>
              <w:numPr>
                <w:ilvl w:val="1"/>
                <w:numId w:val="1"/>
              </w:numPr>
              <w:contextualSpacing/>
              <w:ind w:left="-117" w:firstLine="142"/>
              <w:jc w:val="center"/>
              <w:spacing w:before="60" w:after="60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9413" w:type="dxa"/>
            <w:vAlign w:val="center"/>
            <w:textDirection w:val="lrTb"/>
            <w:noWrap w:val="false"/>
          </w:tcPr>
          <w:p>
            <w:pPr>
              <w:pStyle w:val="631"/>
              <w:spacing w:before="60" w:after="200"/>
              <w:widowControl w:val="off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Требования к процедурам оказания услуг</w:t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3173" w:type="dxa"/>
            <w:vMerge w:val="continue"/>
            <w:textDirection w:val="lrTb"/>
            <w:noWrap w:val="false"/>
          </w:tcPr>
          <w:p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2105" w:type="dxa"/>
            <w:textDirection w:val="lrTb"/>
            <w:noWrap w:val="false"/>
          </w:tcPr>
          <w:p>
            <w:pPr>
              <w:pStyle w:val="631"/>
              <w:jc w:val="center"/>
              <w:keepNext/>
              <w:spacing w:before="60" w:after="60"/>
              <w:widowControl w:val="o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-//-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899" w:type="dxa"/>
            <w:vAlign w:val="center"/>
            <w:textDirection w:val="lrTb"/>
            <w:noWrap w:val="false"/>
          </w:tcPr>
          <w:p>
            <w:pPr>
              <w:pStyle w:val="697"/>
              <w:numPr>
                <w:ilvl w:val="2"/>
                <w:numId w:val="1"/>
              </w:numPr>
              <w:contextualSpacing/>
              <w:ind w:left="1224" w:hanging="1199"/>
              <w:jc w:val="center"/>
              <w:spacing w:before="60" w:after="60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2105" w:type="dxa"/>
            <w:textDirection w:val="lrTb"/>
            <w:noWrap w:val="false"/>
          </w:tcPr>
          <w:p>
            <w:pPr>
              <w:pStyle w:val="631"/>
              <w:jc w:val="both"/>
              <w:spacing w:before="60" w:after="200"/>
              <w:widowControl w:val="off"/>
              <w:tabs>
                <w:tab w:val="left" w:pos="426" w:leader="none"/>
                <w:tab w:val="clear" w:pos="708" w:leader="none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Организационные технические мероприятия по допуску персонала исполнителя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7308" w:type="dxa"/>
            <w:textDirection w:val="lrTb"/>
            <w:noWrap w:val="false"/>
          </w:tcPr>
          <w:p>
            <w:pPr>
              <w:pStyle w:val="631"/>
              <w:jc w:val="both"/>
              <w:spacing w:before="60" w:after="200"/>
              <w:widowControl w:val="off"/>
              <w:tabs>
                <w:tab w:val="left" w:pos="426" w:leader="none"/>
                <w:tab w:val="clear" w:pos="708" w:leader="none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 течение 10 (десяти) рабочих дней с даты заключения договора, предоставить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на согласование представителям Заказчика, уполномоченным на оперативное рассмотрение и решение технических и организационных вопросов, связанных с оказанием Услуг, программы технического диагностирования по объектам, указанным в Таблице 1.1, раздела 1 ТТ.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3173" w:type="dxa"/>
            <w:vMerge w:val="continue"/>
            <w:textDirection w:val="lrTb"/>
            <w:noWrap w:val="false"/>
          </w:tcPr>
          <w:p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2105" w:type="dxa"/>
            <w:textDirection w:val="lrTb"/>
            <w:noWrap w:val="false"/>
          </w:tcPr>
          <w:p>
            <w:pPr>
              <w:pStyle w:val="699"/>
              <w:numPr>
                <w:ilvl w:val="0"/>
                <w:numId w:val="0"/>
              </w:numPr>
              <w:jc w:val="left"/>
              <w:keepNext w:val="0"/>
              <w:spacing w:before="0" w:after="0"/>
              <w:widowControl w:val="off"/>
              <w:rPr>
                <w:b w:val="0"/>
              </w:rPr>
              <w:outlineLvl w:val="2"/>
            </w:pPr>
            <w:r>
              <w:rPr>
                <w:b w:val="0"/>
              </w:rPr>
            </w:r>
            <w:r>
              <w:rPr>
                <w:b w:val="0"/>
              </w:rPr>
            </w:r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899" w:type="dxa"/>
            <w:vAlign w:val="center"/>
            <w:textDirection w:val="lrTb"/>
            <w:noWrap w:val="false"/>
          </w:tcPr>
          <w:p>
            <w:pPr>
              <w:pStyle w:val="697"/>
              <w:numPr>
                <w:ilvl w:val="2"/>
                <w:numId w:val="1"/>
              </w:numPr>
              <w:contextualSpacing/>
              <w:ind w:left="1224" w:hanging="1199"/>
              <w:jc w:val="center"/>
              <w:spacing w:before="60" w:after="60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2105" w:type="dxa"/>
            <w:textDirection w:val="lrTb"/>
            <w:noWrap w:val="false"/>
          </w:tcPr>
          <w:p>
            <w:pPr>
              <w:pStyle w:val="631"/>
              <w:spacing w:before="60" w:after="200"/>
              <w:widowControl w:val="off"/>
              <w:tabs>
                <w:tab w:val="left" w:pos="426" w:leader="none"/>
                <w:tab w:val="clear" w:pos="708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Соблюдение режима охраны объекта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7308" w:type="dxa"/>
            <w:textDirection w:val="lrTb"/>
            <w:noWrap w:val="false"/>
          </w:tcPr>
          <w:p>
            <w:pPr>
              <w:pStyle w:val="631"/>
              <w:jc w:val="both"/>
              <w:spacing w:before="60" w:after="200"/>
              <w:widowControl w:val="off"/>
              <w:tabs>
                <w:tab w:val="left" w:pos="426" w:leader="none"/>
                <w:tab w:val="clear" w:pos="708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Не позднее, чем за 10 дней до начала оказания услуг, Исполнитель обязан оформить допуск (списки лиц персонала, перечень оборудования и средств измерений) для оказания услуг на территории объекта.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631"/>
              <w:jc w:val="both"/>
              <w:spacing w:line="276" w:lineRule="auto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Оказание услуг проводится в соответствии с требованиями Положения о допуске персонала подрядных организаций к выполнению работ на объектах АО «ДГК» 22.1-504-2023, утв. приказом АО «ДГК» от 28.07.2023 №534.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3173" w:type="dxa"/>
            <w:vMerge w:val="continue"/>
            <w:textDirection w:val="lrTb"/>
            <w:noWrap w:val="false"/>
          </w:tcPr>
          <w:p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2105" w:type="dxa"/>
            <w:textDirection w:val="lrTb"/>
            <w:noWrap w:val="false"/>
          </w:tcPr>
          <w:p>
            <w:pPr>
              <w:pStyle w:val="699"/>
              <w:numPr>
                <w:ilvl w:val="0"/>
                <w:numId w:val="0"/>
              </w:numPr>
              <w:jc w:val="left"/>
              <w:keepNext w:val="0"/>
              <w:spacing w:before="0" w:after="0"/>
              <w:widowControl w:val="off"/>
              <w:rPr>
                <w:b w:val="0"/>
              </w:rPr>
              <w:outlineLvl w:val="2"/>
            </w:pPr>
            <w:r>
              <w:rPr>
                <w:b w:val="0"/>
              </w:rPr>
            </w:r>
            <w:r>
              <w:rPr>
                <w:b w:val="0"/>
              </w:rPr>
            </w:r>
          </w:p>
        </w:tc>
      </w:tr>
      <w:tr>
        <w:tblPrEx/>
        <w:trPr>
          <w:trHeight w:val="90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899" w:type="dxa"/>
            <w:vAlign w:val="center"/>
            <w:textDirection w:val="lrTb"/>
            <w:noWrap w:val="false"/>
          </w:tcPr>
          <w:p>
            <w:pPr>
              <w:pStyle w:val="631"/>
              <w:spacing w:before="60" w:after="60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1.3.3.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2105" w:type="dxa"/>
            <w:textDirection w:val="lrTb"/>
            <w:noWrap w:val="false"/>
          </w:tcPr>
          <w:p>
            <w:pPr>
              <w:pStyle w:val="631"/>
              <w:spacing w:before="60" w:after="200"/>
              <w:widowControl w:val="off"/>
              <w:tabs>
                <w:tab w:val="left" w:pos="426" w:leader="none"/>
                <w:tab w:val="clear" w:pos="708" w:leader="none"/>
              </w:tabs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Объем работ по продлению срока безопасной эксплуатации</w:t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7308" w:type="dxa"/>
            <w:textDirection w:val="lrTb"/>
            <w:noWrap w:val="false"/>
          </w:tcPr>
          <w:p>
            <w:pPr>
              <w:pStyle w:val="631"/>
              <w:jc w:val="both"/>
              <w:spacing w:before="120" w:after="200" w:line="274" w:lineRule="exact"/>
              <w:shd w:val="clear" w:color="auto" w:fill="ffffff"/>
              <w:widowControl w:val="off"/>
              <w:tabs>
                <w:tab w:val="left" w:pos="540" w:leader="none"/>
                <w:tab w:val="clear" w:pos="708" w:leader="none"/>
              </w:tabs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 объём услуг, </w:t>
            </w:r>
            <w:r>
              <w:rPr>
                <w:rFonts w:ascii="Times New Roman" w:hAnsi="Times New Roman" w:eastAsia="Times New Roman" w:cs="Times New Roman"/>
                <w:spacing w:val="-5"/>
                <w:sz w:val="24"/>
                <w:szCs w:val="24"/>
              </w:rPr>
              <w:t xml:space="preserve">должно входить:</w:t>
            </w:r>
            <w:r>
              <w:rPr>
                <w:rFonts w:ascii="Times New Roman" w:hAnsi="Times New Roman" w:cs="Times New Roman"/>
                <w:spacing w:val="-5"/>
                <w:sz w:val="24"/>
                <w:szCs w:val="24"/>
              </w:rPr>
            </w:r>
          </w:p>
          <w:p>
            <w:pPr>
              <w:pStyle w:val="631"/>
              <w:jc w:val="both"/>
              <w:widowControl w:val="off"/>
              <w:rPr>
                <w:rFonts w:ascii="Times New Roman" w:hAnsi="Times New Roman" w:cs="Times New Roman"/>
                <w:i/>
                <w:color w:val="4472c4" w:themeColor="accent5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1. Подбор требуемых для технического диагностирования материалов, в т.ч. проектной, конструкторской, эксплуатационной, ремонтной документации, паспорта технических устройств, инструкции, технологические регламенты и др.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Получение документов осуществляется силами Исполнителя до составления и согласования программы проведения контроля;</w:t>
            </w:r>
            <w:r>
              <w:rPr>
                <w:rFonts w:ascii="Times New Roman" w:hAnsi="Times New Roman" w:cs="Times New Roman"/>
                <w:i/>
                <w:color w:val="4472c4" w:themeColor="accent5"/>
                <w:sz w:val="24"/>
                <w:szCs w:val="24"/>
              </w:rPr>
            </w:r>
          </w:p>
          <w:p>
            <w:pPr>
              <w:pStyle w:val="631"/>
              <w:contextualSpacing/>
              <w:jc w:val="both"/>
              <w:spacing w:before="0" w:after="200"/>
              <w:widowControl w:val="off"/>
              <w:rPr>
                <w:rFonts w:ascii="Times New Roman" w:hAnsi="Times New Roman" w:eastAsia="Times New Roman" w:cs="Times New Roman"/>
                <w:i/>
                <w:iCs/>
                <w:color w:val="ff66ff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2. Сбор, анализ и обобщение имеющейся на начало работ информации о надежности оборудования, а также оборудования аналогичного вида или конструктивно-технологического исполнения (в том числе зарубежных).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Ознакомление с конструктивными особенностями, материалами и технологией изготовления конкретного сосуда, установление фактических условий его эксплуатации, выявление возможности появления дефектов при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 эксплуатации, причин и механизмов их возникновения.  Анализ технической документации объектов проводится до начала проведения технического диагностирования. По результатам анализа технической документации уточняется программа диагностирования и составляет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ся предварительная схема обследования с указанием мест диагностического контроля. Проверка на соответствие монтажа, обвязки трубопроводами, оснащение контрольно-измерительными приборами и предохранительными устройствами сосуда требованиям проектной и техни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4"/>
                <w:szCs w:val="24"/>
              </w:rPr>
              <w:t xml:space="preserve">ческой документации.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4"/>
                <w:szCs w:val="24"/>
              </w:rPr>
              <w:t xml:space="preserve">В случае выявления отсутствия схемы контроля (диагностирования) трубопровода, либо в случае обнаружения несоответствий фактической трассировки в имеющихся схемах контроля Исполнитель актуализирует име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4"/>
                <w:szCs w:val="24"/>
              </w:rPr>
              <w:t xml:space="preserve">ющуюся / разрабатывает новую схему и предоставляет Заказчику в бумажном и электронном виде (в программе MS Visio). На схемах указывается фактическая трассировка, трубопровода, длины и диаметров элементов, опоры, фланцевые соединения, арматура, КИПиА и т.д.</w:t>
            </w:r>
            <w:r>
              <w:rPr>
                <w:rFonts w:ascii="Times New Roman" w:hAnsi="Times New Roman" w:eastAsia="Times New Roman" w:cs="Times New Roman"/>
                <w:i/>
                <w:iCs/>
                <w:color w:val="ff66ff"/>
                <w:sz w:val="24"/>
                <w:szCs w:val="24"/>
              </w:rPr>
            </w:r>
          </w:p>
          <w:p>
            <w:pPr>
              <w:pStyle w:val="631"/>
              <w:jc w:val="both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3. Натурное обследование: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631"/>
              <w:jc w:val="both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3.1. Техническое диагностирование: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631"/>
              <w:jc w:val="both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анализ эксплуатационной, проектн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ой и ремонтной документации для ознакомления с конструктивными особенностями, материалами, технологией изготовления и условиями эксплуатации, а также с результатами его эксплуатационного контроля с целью выявления возможных мест (зон) образования дефектов;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631"/>
              <w:jc w:val="both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- определить места повышенного коррозионного и эрозионного износа, нагруженных сечений;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  <w:p>
            <w:pPr>
              <w:pStyle w:val="631"/>
              <w:jc w:val="both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- произвести анализ устранения замечаний по результатам предыдущих диагностирований, экспертиз при наличии сведений;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  <w:p>
            <w:pPr>
              <w:pStyle w:val="631"/>
              <w:jc w:val="both"/>
              <w:widowControl w:val="off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- наружный и внутренний осмотр (визуальный и измерительный контроль основного металла и сварных соединений, фундаментов, контроль с помощью эндоскопа).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r>
          </w:p>
          <w:p>
            <w:pPr>
              <w:pStyle w:val="631"/>
              <w:contextualSpacing/>
              <w:jc w:val="both"/>
              <w:spacing w:before="0" w:after="200"/>
              <w:widowControl w:val="off"/>
              <w:rPr>
                <w:i w:val="0"/>
                <w:iCs w:val="0"/>
                <w:color w:val="auto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4"/>
                <w:szCs w:val="24"/>
              </w:rPr>
              <w:t xml:space="preserve">Визуальному контролю подлежат все изолированные и неизолированные элементы.</w:t>
            </w:r>
            <w:r>
              <w:rPr>
                <w:i w:val="0"/>
                <w:iCs w:val="0"/>
                <w:color w:val="auto"/>
              </w:rPr>
            </w:r>
          </w:p>
          <w:p>
            <w:pPr>
              <w:pStyle w:val="631"/>
              <w:contextualSpacing/>
              <w:jc w:val="both"/>
              <w:spacing w:before="0" w:after="200"/>
              <w:widowControl w:val="off"/>
              <w:rPr>
                <w:i w:val="0"/>
                <w:iCs w:val="0"/>
                <w:color w:val="auto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4"/>
                <w:szCs w:val="24"/>
              </w:rPr>
              <w:t xml:space="preserve">Осмотру подлежат все доступные сварные соединения трубопроводов и его элементы в целях выявления в них следующих дефектов: трещин, свищей и пористости швов,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4"/>
                <w:szCs w:val="24"/>
              </w:rPr>
              <w:t xml:space="preserve">подрезов, наплывов, прожогов, незаплавленных кратеров, смещений и уводов кромок стыкуемых элементов свыше норм, предусмотренных НТД, несоответствий форм и размеров швов требованиям НТД, деформаций поверхности трубопроводов (в виде вмятин, отдулин и т.п.). </w:t>
            </w:r>
            <w:r>
              <w:rPr>
                <w:i w:val="0"/>
                <w:iCs w:val="0"/>
                <w:color w:val="auto"/>
              </w:rPr>
            </w:r>
          </w:p>
          <w:p>
            <w:pPr>
              <w:pStyle w:val="631"/>
              <w:jc w:val="both"/>
              <w:widowControl w:val="off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При проведении контроля определяется наличие и размеры поверх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ностных дефектов, коррозионных повреждений, эрозионного износа, дефекты сварных соединений, а также деформации элементов трубопроводов, превышающие допустимые значения по конструкторской и нормативно-технической документации. При осмотре защитные покрытия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и изоляция подлежат удалению силами Исполнителя. Особо внимание следует обратить на состояние сварных соединений в зонах концентрации напряжений, а также в местах возможного скопления конденсата и зонах проведенного ранее ремонта. Тщательному осмотру подле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жат те участки внутренней поверхности, где вероятнее всего происходит максимальный коррозионно-эрозионный износ: застойные зоны, места скопления влаги и коррозионных продуктов, зоны разделения фаз «газ-жидкость», места изменения направления потоков, зоны,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4"/>
                <w:szCs w:val="24"/>
              </w:rPr>
              <w:t xml:space="preserve">прилегающие к входным и выходным штуцерам.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r>
          </w:p>
          <w:p>
            <w:pPr>
              <w:pStyle w:val="631"/>
              <w:contextualSpacing/>
              <w:jc w:val="both"/>
              <w:spacing w:before="0" w:after="200"/>
              <w:widowControl w:val="off"/>
              <w:rPr>
                <w:i w:val="0"/>
                <w:iCs w:val="0"/>
                <w:color w:val="auto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4"/>
                <w:szCs w:val="24"/>
              </w:rPr>
              <w:t xml:space="preserve">При наружном осмотре трубопроводов проверяется:</w:t>
            </w:r>
            <w:r>
              <w:rPr>
                <w:i w:val="0"/>
                <w:iCs w:val="0"/>
                <w:color w:val="auto"/>
              </w:rPr>
            </w:r>
          </w:p>
          <w:p>
            <w:pPr>
              <w:pStyle w:val="697"/>
              <w:numPr>
                <w:ilvl w:val="0"/>
                <w:numId w:val="6"/>
              </w:numPr>
              <w:jc w:val="both"/>
              <w:widowControl w:val="off"/>
              <w:rPr>
                <w:i w:val="0"/>
                <w:iCs w:val="0"/>
                <w:color w:val="auto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4"/>
                <w:szCs w:val="24"/>
              </w:rPr>
              <w:t xml:space="preserve">соответствие трассировки и конструкции трубопроводов монтажно-сборочным чертежам, исполнительным схемам согласно паспортам или проекту; </w:t>
            </w:r>
            <w:r>
              <w:rPr>
                <w:i w:val="0"/>
                <w:iCs w:val="0"/>
                <w:color w:val="auto"/>
              </w:rPr>
            </w:r>
          </w:p>
          <w:p>
            <w:pPr>
              <w:pStyle w:val="697"/>
              <w:numPr>
                <w:ilvl w:val="0"/>
                <w:numId w:val="6"/>
              </w:numPr>
              <w:jc w:val="both"/>
              <w:widowControl w:val="off"/>
              <w:rPr>
                <w:i w:val="0"/>
                <w:iCs w:val="0"/>
                <w:color w:val="auto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4"/>
                <w:szCs w:val="24"/>
              </w:rPr>
              <w:t xml:space="preserve">отсутствие или наличие дефектов трассировки трубопроводов (защемлений, прогибов, провисаний, смещений опор с опорных поверхностей, перекосов опор); </w:t>
            </w:r>
            <w:r>
              <w:rPr>
                <w:i w:val="0"/>
                <w:iCs w:val="0"/>
                <w:color w:val="auto"/>
              </w:rPr>
            </w:r>
          </w:p>
          <w:p>
            <w:pPr>
              <w:pStyle w:val="697"/>
              <w:numPr>
                <w:ilvl w:val="0"/>
                <w:numId w:val="6"/>
              </w:numPr>
              <w:jc w:val="both"/>
              <w:widowControl w:val="off"/>
              <w:rPr>
                <w:i w:val="0"/>
                <w:iCs w:val="0"/>
                <w:color w:val="auto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4"/>
                <w:szCs w:val="24"/>
              </w:rPr>
              <w:t xml:space="preserve">состояние элементов трубопроводов, в том числе подземных; прямых участков труб, отводов (гибов), переходов, тройников, врезок, заглушек, штуцеров, бобышек, компенсирующих устройств; </w:t>
            </w:r>
            <w:r>
              <w:rPr>
                <w:i w:val="0"/>
                <w:iCs w:val="0"/>
                <w:color w:val="auto"/>
              </w:rPr>
            </w:r>
          </w:p>
          <w:p>
            <w:pPr>
              <w:pStyle w:val="697"/>
              <w:numPr>
                <w:ilvl w:val="0"/>
                <w:numId w:val="6"/>
              </w:numPr>
              <w:jc w:val="both"/>
              <w:widowControl w:val="off"/>
              <w:rPr>
                <w:i w:val="0"/>
                <w:iCs w:val="0"/>
                <w:color w:val="auto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4"/>
                <w:szCs w:val="24"/>
              </w:rPr>
              <w:t xml:space="preserve">состояние сварных соединений; </w:t>
            </w:r>
            <w:r>
              <w:rPr>
                <w:i w:val="0"/>
                <w:iCs w:val="0"/>
                <w:color w:val="auto"/>
              </w:rPr>
            </w:r>
          </w:p>
          <w:p>
            <w:pPr>
              <w:pStyle w:val="697"/>
              <w:numPr>
                <w:ilvl w:val="0"/>
                <w:numId w:val="6"/>
              </w:numPr>
              <w:jc w:val="both"/>
              <w:widowControl w:val="off"/>
              <w:rPr>
                <w:i w:val="0"/>
                <w:iCs w:val="0"/>
                <w:color w:val="auto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4"/>
                <w:szCs w:val="24"/>
              </w:rPr>
              <w:t xml:space="preserve">исправность дренажей и воздушников (при их наличии); </w:t>
            </w:r>
            <w:r>
              <w:rPr>
                <w:i w:val="0"/>
                <w:iCs w:val="0"/>
                <w:color w:val="auto"/>
              </w:rPr>
            </w:r>
          </w:p>
          <w:p>
            <w:pPr>
              <w:pStyle w:val="697"/>
              <w:numPr>
                <w:ilvl w:val="0"/>
                <w:numId w:val="6"/>
              </w:numPr>
              <w:jc w:val="both"/>
              <w:widowControl w:val="off"/>
              <w:rPr>
                <w:i w:val="0"/>
                <w:iCs w:val="0"/>
                <w:color w:val="auto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4"/>
                <w:szCs w:val="24"/>
              </w:rPr>
              <w:t xml:space="preserve">состояние опорно-подвесной системы трубопроводов на предмет исправности опорных конструкций, тяг, подвесок, пружинных упоров, проскальзывания опор, разрушения бетонных опор;</w:t>
            </w:r>
            <w:r>
              <w:rPr>
                <w:i w:val="0"/>
                <w:iCs w:val="0"/>
                <w:color w:val="auto"/>
              </w:rPr>
            </w:r>
          </w:p>
          <w:p>
            <w:pPr>
              <w:pStyle w:val="697"/>
              <w:numPr>
                <w:ilvl w:val="0"/>
                <w:numId w:val="6"/>
              </w:numPr>
              <w:jc w:val="both"/>
              <w:widowControl w:val="off"/>
              <w:rPr>
                <w:i w:val="0"/>
                <w:iCs w:val="0"/>
                <w:color w:val="auto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4"/>
                <w:szCs w:val="24"/>
              </w:rPr>
              <w:t xml:space="preserve">состояние муфтовых и фланцевых соединений, крепежа, в том числе полнота его укомплектованности и правильности установки; </w:t>
            </w:r>
            <w:r>
              <w:rPr>
                <w:i w:val="0"/>
                <w:iCs w:val="0"/>
                <w:color w:val="auto"/>
              </w:rPr>
            </w:r>
          </w:p>
          <w:p>
            <w:pPr>
              <w:pStyle w:val="697"/>
              <w:numPr>
                <w:ilvl w:val="0"/>
                <w:numId w:val="6"/>
              </w:numPr>
              <w:jc w:val="both"/>
              <w:widowControl w:val="off"/>
              <w:rPr>
                <w:i w:val="0"/>
                <w:iCs w:val="0"/>
                <w:color w:val="auto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4"/>
                <w:szCs w:val="24"/>
              </w:rPr>
              <w:t xml:space="preserve">состояние запорно-регулирующей арматуры (задвижек, вентилей, клапанов обратных, и т.д.); </w:t>
            </w:r>
            <w:r>
              <w:rPr>
                <w:i w:val="0"/>
                <w:iCs w:val="0"/>
                <w:color w:val="auto"/>
              </w:rPr>
            </w:r>
          </w:p>
          <w:p>
            <w:pPr>
              <w:pStyle w:val="697"/>
              <w:numPr>
                <w:ilvl w:val="0"/>
                <w:numId w:val="6"/>
              </w:numPr>
              <w:jc w:val="both"/>
              <w:widowControl w:val="off"/>
              <w:rPr>
                <w:i w:val="0"/>
                <w:iCs w:val="0"/>
                <w:color w:val="auto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4"/>
                <w:szCs w:val="24"/>
              </w:rPr>
              <w:t xml:space="preserve">состояние предохранительных клапанов; </w:t>
            </w:r>
            <w:r>
              <w:rPr>
                <w:i w:val="0"/>
                <w:iCs w:val="0"/>
                <w:color w:val="auto"/>
              </w:rPr>
            </w:r>
          </w:p>
          <w:p>
            <w:pPr>
              <w:pStyle w:val="697"/>
              <w:numPr>
                <w:ilvl w:val="0"/>
                <w:numId w:val="6"/>
              </w:numPr>
              <w:jc w:val="both"/>
              <w:widowControl w:val="off"/>
              <w:rPr>
                <w:i w:val="0"/>
                <w:iCs w:val="0"/>
                <w:color w:val="auto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4"/>
                <w:szCs w:val="24"/>
              </w:rPr>
              <w:t xml:space="preserve">состояние защитных гильз термопар;</w:t>
            </w:r>
            <w:r>
              <w:rPr>
                <w:i w:val="0"/>
                <w:iCs w:val="0"/>
                <w:color w:val="auto"/>
              </w:rPr>
            </w:r>
          </w:p>
          <w:p>
            <w:pPr>
              <w:pStyle w:val="697"/>
              <w:numPr>
                <w:ilvl w:val="0"/>
                <w:numId w:val="6"/>
              </w:numPr>
              <w:jc w:val="both"/>
              <w:widowControl w:val="off"/>
              <w:rPr>
                <w:i w:val="0"/>
                <w:iCs w:val="0"/>
                <w:color w:val="auto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4"/>
                <w:szCs w:val="24"/>
              </w:rPr>
              <w:t xml:space="preserve">состояние резьбовых соединений.</w:t>
            </w:r>
            <w:r>
              <w:rPr>
                <w:i w:val="0"/>
                <w:iCs w:val="0"/>
                <w:color w:val="auto"/>
              </w:rPr>
            </w:r>
          </w:p>
          <w:p>
            <w:pPr>
              <w:pStyle w:val="631"/>
              <w:contextualSpacing/>
              <w:jc w:val="both"/>
              <w:spacing w:before="0" w:after="200"/>
              <w:widowControl w:val="off"/>
              <w:rPr>
                <w:i w:val="0"/>
                <w:iCs w:val="0"/>
                <w:color w:val="auto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4"/>
                <w:szCs w:val="24"/>
              </w:rPr>
              <w:t xml:space="preserve">Внутренний осмотр элементов трубопроводов осуществляется через демонтированные разъемные соединения или в местах демонтированной арматуры с помощью эндоскопического оборудования.</w:t>
            </w:r>
            <w:r>
              <w:rPr>
                <w:i w:val="0"/>
                <w:iCs w:val="0"/>
                <w:color w:val="auto"/>
              </w:rPr>
            </w:r>
          </w:p>
          <w:p>
            <w:pPr>
              <w:pStyle w:val="631"/>
              <w:ind w:left="360" w:firstLine="0"/>
              <w:jc w:val="both"/>
              <w:widowControl w:val="off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4"/>
                <w:szCs w:val="24"/>
              </w:rPr>
            </w:r>
          </w:p>
          <w:p>
            <w:pPr>
              <w:pStyle w:val="631"/>
              <w:contextualSpacing/>
              <w:jc w:val="both"/>
              <w:spacing w:before="0" w:after="200"/>
              <w:widowControl w:val="off"/>
              <w:rPr>
                <w:i w:val="0"/>
                <w:iCs w:val="0"/>
                <w:color w:val="auto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4"/>
                <w:szCs w:val="24"/>
              </w:rPr>
              <w:t xml:space="preserve">- ультразвуковая толщинометрия эл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4"/>
                <w:szCs w:val="24"/>
              </w:rPr>
              <w:t xml:space="preserve">ементов. Места контроля назначаются экспертом по результатам изучения эксплуатационно-технической документации и могут корректироваться по результатам визуального и измерительного контроля объекта экспертизы для увеличения объемов неразрушающего контроля.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4"/>
                <w:szCs w:val="24"/>
              </w:rPr>
              <w:t xml:space="preserve">Толщина стенки трубопровода измеряется на элементах, работающих в наиболее сложных условиях с точки зрения коррозионно-эрозионного износа металла: отводах (гибах), переходах, тройниках, врезках, заглушках, компенсаторах и на прямых учас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4"/>
                <w:szCs w:val="24"/>
              </w:rPr>
              <w:t xml:space="preserve">тках, примыкающих к этим элементам трубопровода, перед арматурой и после нее, в местах скопления жидкости (застойные зоны, тупики и дренажи), в зонах турбулентности потока продукта, в местах изменения сечения трубопровода или направления движения продукта.</w:t>
            </w:r>
            <w:r>
              <w:rPr>
                <w:i w:val="0"/>
                <w:iCs w:val="0"/>
                <w:color w:val="auto"/>
              </w:rPr>
            </w:r>
          </w:p>
          <w:p>
            <w:pPr>
              <w:pStyle w:val="631"/>
              <w:contextualSpacing/>
              <w:jc w:val="both"/>
              <w:spacing w:before="0" w:after="200"/>
              <w:widowControl w:val="off"/>
              <w:rPr>
                <w:i w:val="0"/>
                <w:iCs w:val="0"/>
                <w:color w:val="auto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4"/>
                <w:szCs w:val="24"/>
              </w:rPr>
              <w:t xml:space="preserve">Обратить особое внимание на места трубопроводов, работающих в наиболее сложных условиях, связанных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4"/>
                <w:szCs w:val="24"/>
              </w:rPr>
              <w:t xml:space="preserve"> с турбулентностью потока продукта, с изменением сечения трубопровода или направлением движения продукта, провести дополнительный замер толщины стенки элементов трубопровода в местах наиболее подверженных сопротивлению потока (отводы, переходы, тройники). </w:t>
            </w:r>
            <w:r>
              <w:rPr>
                <w:i w:val="0"/>
                <w:iCs w:val="0"/>
                <w:color w:val="auto"/>
              </w:rPr>
            </w:r>
          </w:p>
          <w:p>
            <w:pPr>
              <w:pStyle w:val="631"/>
              <w:contextualSpacing/>
              <w:jc w:val="both"/>
              <w:spacing w:before="0" w:after="200"/>
              <w:widowControl w:val="off"/>
              <w:rPr>
                <w:i w:val="0"/>
                <w:iCs w:val="0"/>
                <w:color w:val="auto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4"/>
                <w:szCs w:val="24"/>
              </w:rPr>
              <w:t xml:space="preserve">Ультразвуковая толщинометрия проводится по всей протяженности трубопровода, включая участки, проложенные по эстакадам, а также выходящие с верха колонн (аппаратов).</w:t>
            </w:r>
            <w:r>
              <w:rPr>
                <w:i w:val="0"/>
                <w:iCs w:val="0"/>
                <w:color w:val="auto"/>
              </w:rPr>
            </w:r>
          </w:p>
          <w:p>
            <w:pPr>
              <w:pStyle w:val="631"/>
              <w:contextualSpacing/>
              <w:jc w:val="both"/>
              <w:spacing w:before="0" w:after="200"/>
              <w:widowControl w:val="off"/>
              <w:rPr>
                <w:i w:val="0"/>
                <w:iCs w:val="0"/>
                <w:color w:val="auto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4"/>
                <w:szCs w:val="24"/>
              </w:rPr>
              <w:t xml:space="preserve">Для подземных трубоп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4"/>
                <w:szCs w:val="24"/>
              </w:rPr>
              <w:t xml:space="preserve">роводов ультразвуковая толщинометрия стенок проводится на отдельных участках трубопровода в местах вскрытия. При наличии на трубопроводе запорно-регулирующей арматуры провести ультразвуковую толщинометрию стенки корпуса арматуры не менее, чем в 4-х точках.</w:t>
            </w:r>
            <w:r>
              <w:rPr>
                <w:i w:val="0"/>
                <w:iCs w:val="0"/>
                <w:color w:val="auto"/>
              </w:rPr>
            </w:r>
          </w:p>
          <w:p>
            <w:pPr>
              <w:pStyle w:val="631"/>
              <w:contextualSpacing/>
              <w:jc w:val="both"/>
              <w:spacing w:before="0" w:after="200"/>
              <w:widowControl w:val="off"/>
              <w:rPr>
                <w:i w:val="0"/>
                <w:iCs w:val="0"/>
                <w:color w:val="auto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4"/>
                <w:szCs w:val="24"/>
              </w:rPr>
              <w:t xml:space="preserve">- контроль качества сварных соединений. Объем и зоны контроля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4"/>
                <w:szCs w:val="24"/>
              </w:rPr>
              <w:t xml:space="preserve"> качества сварных соединений назначаются экспертом по результатам изучения документации на сосуд, визуального и измерительного контроля, в местах вероятного обнаружения дефектов и их развития. При этом объем контроля не может быть меньше, чем указано ниже.</w:t>
            </w:r>
            <w:r>
              <w:rPr>
                <w:i w:val="0"/>
                <w:iCs w:val="0"/>
                <w:color w:val="auto"/>
              </w:rPr>
            </w:r>
          </w:p>
          <w:p>
            <w:pPr>
              <w:pStyle w:val="631"/>
              <w:contextualSpacing/>
              <w:jc w:val="both"/>
              <w:spacing w:before="0" w:after="200"/>
              <w:widowControl w:val="off"/>
              <w:rPr>
                <w:i w:val="0"/>
                <w:iCs w:val="0"/>
                <w:color w:val="auto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4"/>
                <w:szCs w:val="24"/>
              </w:rPr>
              <w:t xml:space="preserve">Выполнить выборочный контроль качества сварных соединений трубопроводов одним из методов дефектоскопии:  </w:t>
            </w:r>
            <w:r>
              <w:rPr>
                <w:i w:val="0"/>
                <w:iCs w:val="0"/>
                <w:color w:val="auto"/>
              </w:rPr>
            </w:r>
          </w:p>
          <w:p>
            <w:pPr>
              <w:pStyle w:val="631"/>
              <w:contextualSpacing/>
              <w:jc w:val="both"/>
              <w:spacing w:before="0" w:after="200"/>
              <w:widowControl w:val="off"/>
              <w:rPr>
                <w:i w:val="0"/>
                <w:iCs w:val="0"/>
                <w:color w:val="auto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4"/>
                <w:szCs w:val="24"/>
              </w:rPr>
              <w:t xml:space="preserve">- ультразвуковым или радиографическим (предпочтительно стыковые сварные соединения); </w:t>
            </w:r>
            <w:r>
              <w:rPr>
                <w:i w:val="0"/>
                <w:iCs w:val="0"/>
                <w:color w:val="auto"/>
              </w:rPr>
            </w:r>
          </w:p>
          <w:p>
            <w:pPr>
              <w:pStyle w:val="631"/>
              <w:contextualSpacing/>
              <w:jc w:val="both"/>
              <w:spacing w:before="0" w:after="200"/>
              <w:widowControl w:val="off"/>
              <w:rPr>
                <w:i w:val="0"/>
                <w:iCs w:val="0"/>
                <w:color w:val="auto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4"/>
                <w:szCs w:val="24"/>
              </w:rPr>
              <w:t xml:space="preserve">- капиллярным или магнитопорошковым (предпочтительно угловые сварные соединения). </w:t>
            </w:r>
            <w:r>
              <w:rPr>
                <w:i w:val="0"/>
                <w:iCs w:val="0"/>
                <w:color w:val="auto"/>
              </w:rPr>
            </w:r>
          </w:p>
          <w:p>
            <w:pPr>
              <w:pStyle w:val="631"/>
              <w:contextualSpacing/>
              <w:jc w:val="both"/>
              <w:spacing w:before="0" w:after="200"/>
              <w:widowControl w:val="off"/>
              <w:rPr>
                <w:i w:val="0"/>
                <w:iCs w:val="0"/>
                <w:color w:val="auto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4"/>
                <w:szCs w:val="24"/>
              </w:rPr>
              <w:t xml:space="preserve">Методы, объемы и зоны контроля качества с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4"/>
                <w:szCs w:val="24"/>
              </w:rPr>
              <w:t xml:space="preserve">варных соединений элементов трубопроводов назначаются экспертом по результатам ВиК в местах вероятного обнаружения дефектов и их развития. Общее количество сварных соединений, которые подлежат контролю качества на каждом трубопроводе, должно быть не менее:</w:t>
            </w:r>
            <w:r>
              <w:rPr>
                <w:i w:val="0"/>
                <w:iCs w:val="0"/>
                <w:color w:val="auto"/>
              </w:rPr>
            </w:r>
          </w:p>
          <w:p>
            <w:pPr>
              <w:pStyle w:val="631"/>
              <w:contextualSpacing/>
              <w:jc w:val="both"/>
              <w:spacing w:before="0" w:after="200"/>
              <w:widowControl w:val="off"/>
              <w:rPr>
                <w:i w:val="0"/>
                <w:iCs w:val="0"/>
                <w:color w:val="auto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4"/>
                <w:szCs w:val="24"/>
              </w:rPr>
              <w:t xml:space="preserve">- 2 стыковых сварных швов и 2 сварных швов врезки ответвлений (патрубков штуцеров) – для трубопроводов I и II категории;</w:t>
            </w:r>
            <w:r>
              <w:rPr>
                <w:i w:val="0"/>
                <w:iCs w:val="0"/>
                <w:color w:val="auto"/>
              </w:rPr>
            </w:r>
          </w:p>
          <w:p>
            <w:pPr>
              <w:pStyle w:val="631"/>
              <w:contextualSpacing/>
              <w:jc w:val="both"/>
              <w:spacing w:before="0" w:after="200"/>
              <w:widowControl w:val="off"/>
              <w:rPr>
                <w:i w:val="0"/>
                <w:iCs w:val="0"/>
                <w:color w:val="auto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4"/>
                <w:szCs w:val="24"/>
              </w:rPr>
              <w:t xml:space="preserve">- 1 стыкового сварного шва и 1 сварного шва врезки ответвлений (патрубков штуцеров) – для трубопроводов III и IV, V категории.</w:t>
            </w:r>
            <w:r>
              <w:rPr>
                <w:i w:val="0"/>
                <w:iCs w:val="0"/>
                <w:color w:val="auto"/>
              </w:rPr>
            </w:r>
          </w:p>
          <w:p>
            <w:pPr>
              <w:pStyle w:val="631"/>
              <w:contextualSpacing/>
              <w:jc w:val="both"/>
              <w:spacing w:before="0" w:after="200"/>
              <w:widowControl w:val="off"/>
              <w:rPr>
                <w:i w:val="0"/>
                <w:iCs w:val="0"/>
                <w:color w:val="auto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4"/>
                <w:szCs w:val="24"/>
              </w:rPr>
              <w:t xml:space="preserve">Количество сварных соединений, которые подлежат контролю качества технологических трубопроводов транспортирующих моноэтаноламина должно быть не менее: </w:t>
            </w:r>
            <w:r>
              <w:rPr>
                <w:i w:val="0"/>
                <w:iCs w:val="0"/>
                <w:color w:val="auto"/>
              </w:rPr>
            </w:r>
          </w:p>
          <w:p>
            <w:pPr>
              <w:pStyle w:val="631"/>
              <w:contextualSpacing/>
              <w:jc w:val="both"/>
              <w:spacing w:before="0" w:after="200"/>
              <w:widowControl w:val="off"/>
              <w:rPr>
                <w:i w:val="0"/>
                <w:iCs w:val="0"/>
                <w:color w:val="auto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4"/>
                <w:szCs w:val="24"/>
              </w:rPr>
              <w:t xml:space="preserve">- 4 стыковых сварных швов и 4 сварных швов врезки ответвлений (патрубков штуцеров).  </w:t>
            </w:r>
            <w:r>
              <w:rPr>
                <w:i w:val="0"/>
                <w:iCs w:val="0"/>
                <w:color w:val="auto"/>
              </w:rPr>
            </w:r>
          </w:p>
          <w:p>
            <w:pPr>
              <w:pStyle w:val="631"/>
              <w:contextualSpacing/>
              <w:jc w:val="both"/>
              <w:spacing w:before="0" w:after="200"/>
              <w:widowControl w:val="off"/>
              <w:rPr>
                <w:i w:val="0"/>
                <w:iCs w:val="0"/>
                <w:color w:val="auto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4"/>
                <w:szCs w:val="24"/>
              </w:rPr>
              <w:t xml:space="preserve">При наличии на элементах трубопровода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4"/>
                <w:szCs w:val="24"/>
              </w:rPr>
              <w:t xml:space="preserve">продольных сварных швов они должны контролироваться на длине не менее 100 мм (при наружном диаметре 219 мм и менее) и не менее 150 мм (при наружном диаметре 273 мм и более) от пересечения совместно с кольцевым сварным соединением теми же методами контроля.</w:t>
            </w:r>
            <w:r>
              <w:rPr>
                <w:i w:val="0"/>
                <w:iCs w:val="0"/>
                <w:color w:val="auto"/>
              </w:rPr>
            </w:r>
          </w:p>
          <w:p>
            <w:pPr>
              <w:pStyle w:val="631"/>
              <w:contextualSpacing/>
              <w:jc w:val="both"/>
              <w:spacing w:before="0" w:after="200"/>
              <w:widowControl w:val="off"/>
              <w:rPr>
                <w:i w:val="0"/>
                <w:iCs w:val="0"/>
                <w:color w:val="auto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4"/>
                <w:szCs w:val="24"/>
              </w:rPr>
              <w:t xml:space="preserve">Контроль качества кольцевого сварного соединения элементов трубопровода ультразвуковым или радиографическим методами с наружным диаметром 325 мм и более допускается проводить выборочно на трех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4"/>
                <w:szCs w:val="24"/>
              </w:rPr>
              <w:t xml:space="preserve"> участках, расположенных равномерно по всей окружности, с общей их длиной не менее 30% от длины окружности. В случае обнаружения недопустимых дефектов в основном металле или в металле сварного шва такое сварное соединение подлежит контролю в полном объеме.</w:t>
            </w:r>
            <w:r>
              <w:rPr>
                <w:i w:val="0"/>
                <w:iCs w:val="0"/>
                <w:color w:val="auto"/>
              </w:rPr>
            </w:r>
          </w:p>
          <w:p>
            <w:pPr>
              <w:pStyle w:val="631"/>
              <w:contextualSpacing/>
              <w:jc w:val="both"/>
              <w:spacing w:before="0" w:after="200"/>
              <w:widowControl w:val="off"/>
              <w:rPr>
                <w:i w:val="0"/>
                <w:iCs w:val="0"/>
                <w:color w:val="auto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4"/>
                <w:szCs w:val="24"/>
              </w:rPr>
              <w:t xml:space="preserve">Обеспечить проведение неразрушающего контроля (рентгенография, ультразвуковой контроль) сварных соединений трубопроводов из хромомолибденовой стали с аустенитными сварными стыками в объеме не менее 20% от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4"/>
                <w:szCs w:val="24"/>
              </w:rPr>
              <w:t xml:space="preserve"> общего количества кольцевых сварных соединений на каждом трубопроводе и в объеме не менее 80% от  общего количества сварных соединений участков, работающих в особо сложных условиях (в том числе высокая турбулентность потока продукта, связанная с изменение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4"/>
                <w:szCs w:val="24"/>
              </w:rPr>
              <w:t xml:space="preserve">м сечения трубопровода или направления движения продукта). При выявлении недопустимых дефектов сварных соединений удвоить объем контроля. В случае повторного выявления недопустимых дефектов, выполнить 100 % контроль сварных соединений на этом трубопроводе.</w:t>
            </w:r>
            <w:r>
              <w:rPr>
                <w:i w:val="0"/>
                <w:iCs w:val="0"/>
                <w:color w:val="auto"/>
              </w:rPr>
            </w:r>
          </w:p>
          <w:p>
            <w:pPr>
              <w:pStyle w:val="631"/>
              <w:contextualSpacing/>
              <w:jc w:val="both"/>
              <w:spacing w:before="0" w:after="200"/>
              <w:widowControl w:val="off"/>
              <w:rPr>
                <w:i w:val="0"/>
                <w:iCs w:val="0"/>
                <w:color w:val="auto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4"/>
                <w:szCs w:val="24"/>
              </w:rPr>
              <w:t xml:space="preserve">Выполнить капиллярный или магнитопорошковый контроль сварных соединений защитных гильз термопар (при наличии).</w:t>
            </w:r>
            <w:r>
              <w:rPr>
                <w:i w:val="0"/>
                <w:iCs w:val="0"/>
                <w:color w:val="auto"/>
              </w:rPr>
            </w:r>
          </w:p>
          <w:p>
            <w:pPr>
              <w:pStyle w:val="631"/>
              <w:contextualSpacing/>
              <w:jc w:val="both"/>
              <w:spacing w:before="0" w:after="200"/>
              <w:widowControl w:val="off"/>
              <w:rPr>
                <w:i w:val="0"/>
                <w:iCs w:val="0"/>
                <w:color w:val="auto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4"/>
                <w:szCs w:val="24"/>
              </w:rPr>
              <w:t xml:space="preserve">- Измерение твердости основного металла и сварных соединений элементов трубопроводов.</w:t>
            </w:r>
            <w:r>
              <w:rPr>
                <w:i w:val="0"/>
                <w:iCs w:val="0"/>
                <w:color w:val="auto"/>
              </w:rPr>
            </w:r>
          </w:p>
          <w:p>
            <w:pPr>
              <w:pStyle w:val="631"/>
              <w:contextualSpacing/>
              <w:jc w:val="both"/>
              <w:spacing w:before="0" w:after="200"/>
              <w:widowControl w:val="off"/>
              <w:rPr>
                <w:i w:val="0"/>
                <w:iCs w:val="0"/>
                <w:color w:val="auto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4"/>
                <w:szCs w:val="24"/>
              </w:rPr>
              <w:t xml:space="preserve">Замер твердости металла трубопровода и сварных соединений производится в доступных местах для элементов трубопровода (труба, отвод (колено, гиб), переход, кованый (литой) тройник и др.). </w:t>
            </w:r>
            <w:r>
              <w:rPr>
                <w:i w:val="0"/>
                <w:iCs w:val="0"/>
                <w:color w:val="auto"/>
              </w:rPr>
            </w:r>
          </w:p>
          <w:p>
            <w:pPr>
              <w:pStyle w:val="631"/>
              <w:contextualSpacing/>
              <w:jc w:val="both"/>
              <w:spacing w:before="0" w:after="200"/>
              <w:widowControl w:val="off"/>
              <w:rPr>
                <w:i w:val="0"/>
                <w:iCs w:val="0"/>
                <w:color w:val="auto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4"/>
                <w:szCs w:val="24"/>
              </w:rPr>
              <w:t xml:space="preserve">Замер твердости элементов трубопровода и сварных соединении производить выборочно по одному представителю к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4"/>
                <w:szCs w:val="24"/>
              </w:rPr>
              <w:t xml:space="preserve">аждого, при этом выбор представителей должен осуществляться для группы однотипных элементов с одинаковым материальным исполнением, которые находятся в зоне максимальных силовых и тепловых нагрузок, не менее трех сварных соединений на каждом трубопроводе.  </w:t>
            </w:r>
            <w:r>
              <w:rPr>
                <w:i w:val="0"/>
                <w:iCs w:val="0"/>
                <w:color w:val="auto"/>
              </w:rPr>
            </w:r>
          </w:p>
          <w:p>
            <w:pPr>
              <w:pStyle w:val="631"/>
              <w:contextualSpacing/>
              <w:jc w:val="both"/>
              <w:spacing w:before="0" w:after="200"/>
              <w:widowControl w:val="off"/>
              <w:rPr>
                <w:i w:val="0"/>
                <w:iCs w:val="0"/>
                <w:color w:val="auto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4"/>
                <w:szCs w:val="24"/>
              </w:rPr>
              <w:t xml:space="preserve">Для трубопроводов из хромомолибденовой стали проводится 100% измерение всех элементов. </w:t>
            </w:r>
            <w:r>
              <w:rPr>
                <w:i w:val="0"/>
                <w:iCs w:val="0"/>
                <w:color w:val="auto"/>
              </w:rPr>
            </w:r>
          </w:p>
          <w:p>
            <w:pPr>
              <w:pStyle w:val="631"/>
              <w:contextualSpacing/>
              <w:jc w:val="both"/>
              <w:spacing w:before="0" w:after="200"/>
              <w:widowControl w:val="off"/>
              <w:rPr>
                <w:i w:val="0"/>
                <w:iCs w:val="0"/>
                <w:color w:val="auto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4"/>
                <w:szCs w:val="24"/>
              </w:rPr>
              <w:t xml:space="preserve">В каждом месте, установленном специалистами, проводящими обследование, должно быть сделано не менее трех измерений. </w:t>
            </w:r>
            <w:r>
              <w:rPr>
                <w:i w:val="0"/>
                <w:iCs w:val="0"/>
                <w:color w:val="auto"/>
              </w:rPr>
            </w:r>
          </w:p>
          <w:p>
            <w:pPr>
              <w:pStyle w:val="631"/>
              <w:contextualSpacing/>
              <w:jc w:val="both"/>
              <w:spacing w:before="0" w:after="200"/>
              <w:widowControl w:val="off"/>
              <w:rPr>
                <w:i w:val="0"/>
                <w:iCs w:val="0"/>
                <w:color w:val="auto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4"/>
                <w:szCs w:val="24"/>
              </w:rPr>
              <w:t xml:space="preserve">Дополнительно замер твердости выполняется во всех случаях, когда возникает сомнение в качестве металла или сварного шва. </w:t>
            </w:r>
            <w:r>
              <w:rPr>
                <w:i w:val="0"/>
                <w:iCs w:val="0"/>
                <w:color w:val="auto"/>
              </w:rPr>
            </w:r>
          </w:p>
          <w:p>
            <w:pPr>
              <w:pStyle w:val="631"/>
              <w:contextualSpacing/>
              <w:jc w:val="both"/>
              <w:spacing w:before="0" w:after="200"/>
              <w:widowControl w:val="off"/>
              <w:rPr>
                <w:i w:val="0"/>
                <w:iCs w:val="0"/>
                <w:color w:val="auto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4"/>
                <w:szCs w:val="24"/>
              </w:rPr>
              <w:t xml:space="preserve">Места (точки) замеров твердости наносятся на схемы трубопроводов, а результаты замеров - в таблицу.</w:t>
            </w:r>
            <w:r>
              <w:rPr>
                <w:i w:val="0"/>
                <w:iCs w:val="0"/>
                <w:color w:val="auto"/>
              </w:rPr>
            </w:r>
          </w:p>
          <w:p>
            <w:pPr>
              <w:pStyle w:val="631"/>
              <w:contextualSpacing/>
              <w:jc w:val="both"/>
              <w:spacing w:before="0" w:after="200"/>
              <w:widowControl w:val="off"/>
              <w:rPr>
                <w:i w:val="0"/>
                <w:iCs w:val="0"/>
                <w:color w:val="auto"/>
              </w:rPr>
            </w:pPr>
            <w:r/>
            <w:bookmarkStart w:id="4" w:name="i303612"/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4"/>
                <w:szCs w:val="24"/>
              </w:rPr>
              <w:t xml:space="preserve">В случае если полученный результат пока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4"/>
                <w:szCs w:val="24"/>
              </w:rPr>
              <w:t xml:space="preserve">зывает, что твердость металла на участке трубопровода (или сварного соединения, наплавленного металла) не соответствует нормативно-технической документации, то металл такого участка трубопровода подлежит исследованию с вырезкой образца или отбраковывается.</w:t>
            </w:r>
            <w:bookmarkEnd w:id="4"/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4"/>
                <w:szCs w:val="24"/>
              </w:rPr>
              <w:t xml:space="preserve"> Решение о необходимости вырезки образца согласовывается с Заказчиком.</w:t>
            </w:r>
            <w:r>
              <w:rPr>
                <w:i w:val="0"/>
                <w:iCs w:val="0"/>
                <w:color w:val="auto"/>
              </w:rPr>
            </w:r>
          </w:p>
          <w:p>
            <w:pPr>
              <w:pStyle w:val="631"/>
              <w:contextualSpacing/>
              <w:jc w:val="both"/>
              <w:spacing w:before="0" w:after="200"/>
              <w:widowControl w:val="off"/>
              <w:rPr>
                <w:i w:val="0"/>
                <w:iCs w:val="0"/>
                <w:color w:val="auto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4"/>
                <w:szCs w:val="24"/>
              </w:rPr>
              <w:t xml:space="preserve">Замер твердости производится переносными твердомерами, пригодными для проведения замеров на слабо искривленных поверхностях. </w:t>
            </w:r>
            <w:r>
              <w:rPr>
                <w:i w:val="0"/>
                <w:iCs w:val="0"/>
                <w:color w:val="auto"/>
              </w:rPr>
            </w:r>
          </w:p>
          <w:p>
            <w:pPr>
              <w:pStyle w:val="631"/>
              <w:contextualSpacing/>
              <w:jc w:val="both"/>
              <w:spacing w:before="0" w:after="200"/>
              <w:widowControl w:val="off"/>
              <w:rPr>
                <w:i w:val="0"/>
                <w:iCs w:val="0"/>
                <w:color w:val="auto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4"/>
                <w:szCs w:val="24"/>
              </w:rPr>
              <w:t xml:space="preserve">Выбор нагрузки и индентора должен производится с учетом толщины контролируемых элементов, шероховатость поверхности должна соответствовать требованиям действующей нормативно-технической документации и инструкций на применяемые приборы. - м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4"/>
                <w:szCs w:val="24"/>
              </w:rPr>
              <w:t xml:space="preserve">еталлографические исследования (безобразцовым методом). Необходимость контроля структур металла, конкретные места поверхности на элементах трубопровода для изготовления шлифа или его оттиска на реплике, либо отбора скола и их количество определяет эксперт,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4"/>
                <w:szCs w:val="24"/>
              </w:rPr>
              <w:t xml:space="preserve"> проводящий техническое диагностирование.  Проводятся для уточнения характера выявленных дефектов при контроле неразрушающими методами и для подтверждения изменений характеристик твердости и механических свойств металла;</w:t>
            </w:r>
            <w:r>
              <w:rPr>
                <w:i w:val="0"/>
                <w:iCs w:val="0"/>
                <w:color w:val="auto"/>
              </w:rPr>
            </w:r>
          </w:p>
          <w:p>
            <w:pPr>
              <w:pStyle w:val="631"/>
              <w:contextualSpacing/>
              <w:jc w:val="both"/>
              <w:spacing w:before="0" w:after="200"/>
              <w:widowControl w:val="off"/>
              <w:rPr>
                <w:i w:val="0"/>
                <w:iCs w:val="0"/>
                <w:color w:val="auto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4"/>
                <w:szCs w:val="24"/>
              </w:rPr>
              <w:t xml:space="preserve">- исследование механических свойств, микроструктуры, химического состава металла по вырезкам (при необходимости). Необходимость проведения и объем вырезок определяется экспертом.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4"/>
                <w:szCs w:val="24"/>
              </w:rPr>
              <w:t xml:space="preserve">Дополнительно стилоскопированию (безобразцовым методом) подлежат элементы трубопроводов, металл сварных соединений на наличие основных легирующих элементов в случаях, если:</w:t>
            </w:r>
            <w:r>
              <w:rPr>
                <w:i w:val="0"/>
                <w:iCs w:val="0"/>
                <w:color w:val="auto"/>
              </w:rPr>
            </w:r>
          </w:p>
          <w:p>
            <w:pPr>
              <w:pStyle w:val="631"/>
              <w:contextualSpacing/>
              <w:jc w:val="both"/>
              <w:spacing w:before="0" w:after="200"/>
              <w:widowControl w:val="off"/>
              <w:rPr>
                <w:i w:val="0"/>
                <w:iCs w:val="0"/>
                <w:color w:val="auto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4"/>
                <w:szCs w:val="24"/>
              </w:rPr>
              <w:t xml:space="preserve">- фактическое материальное исполнение того или иного элемента трубопровода, вызывает сомнение по поводу соответствия проекту или паспорту трубопровода; </w:t>
            </w:r>
            <w:r>
              <w:rPr>
                <w:i w:val="0"/>
                <w:iCs w:val="0"/>
                <w:color w:val="auto"/>
              </w:rPr>
            </w:r>
          </w:p>
          <w:p>
            <w:pPr>
              <w:pStyle w:val="631"/>
              <w:contextualSpacing/>
              <w:jc w:val="both"/>
              <w:spacing w:before="0" w:after="200"/>
              <w:widowControl w:val="off"/>
              <w:rPr>
                <w:i w:val="0"/>
                <w:iCs w:val="0"/>
                <w:color w:val="auto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4"/>
                <w:szCs w:val="24"/>
              </w:rPr>
              <w:t xml:space="preserve">- твердость элементов трубопровода, сварных соединений не соответствуют требованиям нормативных документов;</w:t>
            </w:r>
            <w:r>
              <w:rPr>
                <w:i w:val="0"/>
                <w:iCs w:val="0"/>
                <w:color w:val="auto"/>
              </w:rPr>
            </w:r>
          </w:p>
          <w:p>
            <w:pPr>
              <w:pStyle w:val="631"/>
              <w:contextualSpacing/>
              <w:jc w:val="both"/>
              <w:spacing w:before="0" w:after="200"/>
              <w:widowControl w:val="off"/>
              <w:rPr>
                <w:i w:val="0"/>
                <w:iCs w:val="0"/>
                <w:color w:val="auto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4"/>
                <w:szCs w:val="24"/>
              </w:rPr>
              <w:t xml:space="preserve">- примененные при монтаже или ремонте сварочные материалы вызывают сомнение по поводу соответствия проекту или ремонтной документации.</w:t>
            </w:r>
            <w:r>
              <w:rPr>
                <w:i w:val="0"/>
                <w:iCs w:val="0"/>
                <w:color w:val="auto"/>
              </w:rPr>
            </w:r>
          </w:p>
          <w:p>
            <w:pPr>
              <w:pStyle w:val="631"/>
              <w:contextualSpacing/>
              <w:jc w:val="both"/>
              <w:spacing w:before="0" w:after="200"/>
              <w:widowControl w:val="off"/>
              <w:rPr>
                <w:i w:val="0"/>
                <w:iCs w:val="0"/>
                <w:color w:val="auto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4"/>
                <w:szCs w:val="24"/>
              </w:rPr>
              <w:t xml:space="preserve">При наличии на технологическом трубопроводе термопары провести 100% стилоскопирование всех элементов и сварных соединений защитной гильзы термопары.</w:t>
            </w:r>
            <w:r>
              <w:rPr>
                <w:i w:val="0"/>
                <w:iCs w:val="0"/>
                <w:color w:val="auto"/>
              </w:rPr>
            </w:r>
          </w:p>
          <w:p>
            <w:pPr>
              <w:pStyle w:val="631"/>
              <w:contextualSpacing/>
              <w:jc w:val="both"/>
              <w:spacing w:before="0" w:after="200"/>
              <w:widowControl w:val="off"/>
              <w:rPr>
                <w:i w:val="0"/>
                <w:iCs w:val="0"/>
                <w:color w:val="auto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4"/>
                <w:szCs w:val="24"/>
              </w:rPr>
              <w:t xml:space="preserve">- исследование механических свойств, микроструктуры металла, химического состава по вырезкам. </w:t>
            </w:r>
            <w:r>
              <w:rPr>
                <w:i w:val="0"/>
                <w:iCs w:val="0"/>
                <w:color w:val="auto"/>
              </w:rPr>
            </w:r>
          </w:p>
          <w:p>
            <w:pPr>
              <w:pStyle w:val="631"/>
              <w:contextualSpacing/>
              <w:jc w:val="both"/>
              <w:spacing w:before="0" w:after="200"/>
              <w:widowControl w:val="off"/>
              <w:rPr>
                <w:i w:val="0"/>
                <w:iCs w:val="0"/>
                <w:color w:val="auto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4"/>
                <w:szCs w:val="24"/>
              </w:rPr>
              <w:t xml:space="preserve">Исследования механических свойств, химического состава, и микроструктуры металла производятся на образцах, изготовленных из вырезки контрольной пробы основного металла и металла сварных соединений элементов трубопров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4"/>
                <w:szCs w:val="24"/>
              </w:rPr>
              <w:t xml:space="preserve">одов в соответствии с требованиями действующих стандартов. Место и размеры вырезки контрольной пробы (участка трубы) металла устанавливаются экспертом, проводящим техническое диагностирование. Основными причинами вырезки контрольной пробы металла являются:</w:t>
            </w:r>
            <w:r>
              <w:rPr>
                <w:i w:val="0"/>
                <w:iCs w:val="0"/>
                <w:color w:val="auto"/>
              </w:rPr>
            </w:r>
          </w:p>
          <w:p>
            <w:pPr>
              <w:pStyle w:val="631"/>
              <w:contextualSpacing/>
              <w:jc w:val="both"/>
              <w:spacing w:before="0" w:after="200"/>
              <w:widowControl w:val="off"/>
              <w:rPr>
                <w:i w:val="0"/>
                <w:iCs w:val="0"/>
                <w:color w:val="auto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4"/>
                <w:szCs w:val="24"/>
              </w:rPr>
              <w:t xml:space="preserve">- неудовлетворительные результаты измерения твердости металла;</w:t>
            </w:r>
            <w:r>
              <w:rPr>
                <w:i w:val="0"/>
                <w:iCs w:val="0"/>
                <w:color w:val="auto"/>
              </w:rPr>
            </w:r>
          </w:p>
          <w:p>
            <w:pPr>
              <w:pStyle w:val="631"/>
              <w:contextualSpacing/>
              <w:jc w:val="both"/>
              <w:spacing w:before="0" w:after="200"/>
              <w:widowControl w:val="off"/>
              <w:rPr>
                <w:i w:val="0"/>
                <w:iCs w:val="0"/>
                <w:color w:val="auto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4"/>
                <w:szCs w:val="24"/>
              </w:rPr>
              <w:t xml:space="preserve">- обнаружение аномальных изменений в микроструктуре металла по данным металлографического анализа, выходящих за пределы требований нормативных документов по микроструктуре металла;</w:t>
            </w:r>
            <w:r>
              <w:rPr>
                <w:i w:val="0"/>
                <w:iCs w:val="0"/>
                <w:color w:val="auto"/>
              </w:rPr>
            </w:r>
          </w:p>
          <w:p>
            <w:pPr>
              <w:pStyle w:val="631"/>
              <w:contextualSpacing/>
              <w:jc w:val="both"/>
              <w:spacing w:before="0" w:after="200"/>
              <w:widowControl w:val="off"/>
              <w:rPr>
                <w:i w:val="0"/>
                <w:iCs w:val="0"/>
                <w:color w:val="auto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4"/>
                <w:szCs w:val="24"/>
              </w:rPr>
              <w:t xml:space="preserve">- нарушение режимов эксплуатации, в результате которого возможны изменения в структуре и свойствах металла, деформации и разрушения элементов трубопроводов или появление других недопустимых дефектов; </w:t>
            </w:r>
            <w:r>
              <w:rPr>
                <w:i w:val="0"/>
                <w:iCs w:val="0"/>
                <w:color w:val="auto"/>
              </w:rPr>
            </w:r>
          </w:p>
          <w:p>
            <w:pPr>
              <w:pStyle w:val="631"/>
              <w:contextualSpacing/>
              <w:jc w:val="both"/>
              <w:spacing w:before="0" w:after="200"/>
              <w:widowControl w:val="off"/>
              <w:rPr>
                <w:i w:val="0"/>
                <w:iCs w:val="0"/>
                <w:color w:val="auto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4"/>
                <w:szCs w:val="24"/>
              </w:rPr>
              <w:t xml:space="preserve">- отсутствие в технической документации сведений о марке стали элементов трубопровода или использовании при его ремонте (или монтаже) материалов или фасонных деталей, на которые отсутствуют сертификатные данные; </w:t>
            </w:r>
            <w:r>
              <w:rPr>
                <w:i w:val="0"/>
                <w:iCs w:val="0"/>
                <w:color w:val="auto"/>
              </w:rPr>
            </w:r>
          </w:p>
          <w:p>
            <w:pPr>
              <w:pStyle w:val="631"/>
              <w:contextualSpacing/>
              <w:jc w:val="both"/>
              <w:spacing w:before="0" w:after="200"/>
              <w:widowControl w:val="off"/>
              <w:rPr>
                <w:i w:val="0"/>
                <w:iCs w:val="0"/>
                <w:color w:val="auto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4"/>
                <w:szCs w:val="24"/>
              </w:rPr>
              <w:t xml:space="preserve">- необходимость исследования механических свойств и структуры металла на в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4"/>
                <w:szCs w:val="24"/>
              </w:rPr>
              <w:t xml:space="preserve">ырезках из трубопровода, если это при его эксплуатационном обследовании предусмотрено действующими производственно-техническими документами (правилами, руководящими техническими материалами, инструкциями по эксплуатации, регламентами и т.п.) или проектом; </w:t>
            </w:r>
            <w:r>
              <w:rPr>
                <w:i w:val="0"/>
                <w:iCs w:val="0"/>
                <w:color w:val="auto"/>
              </w:rPr>
            </w:r>
          </w:p>
          <w:p>
            <w:pPr>
              <w:pStyle w:val="631"/>
              <w:contextualSpacing/>
              <w:jc w:val="both"/>
              <w:spacing w:before="0" w:after="200"/>
              <w:widowControl w:val="off"/>
              <w:rPr>
                <w:i w:val="0"/>
                <w:iCs w:val="0"/>
                <w:color w:val="auto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4"/>
                <w:szCs w:val="24"/>
              </w:rPr>
              <w:t xml:space="preserve">- воздействие на металл (в результате пожара, аварии или стихийном бедствии) нештатных силовых и термических нагрузок.</w:t>
            </w:r>
            <w:r>
              <w:rPr>
                <w:i w:val="0"/>
                <w:iCs w:val="0"/>
                <w:color w:val="auto"/>
              </w:rPr>
            </w:r>
          </w:p>
          <w:p>
            <w:pPr>
              <w:pStyle w:val="631"/>
              <w:contextualSpacing/>
              <w:jc w:val="both"/>
              <w:spacing w:before="0" w:after="200"/>
              <w:widowControl w:val="off"/>
              <w:rPr>
                <w:i w:val="0"/>
                <w:iCs w:val="0"/>
                <w:color w:val="auto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4"/>
                <w:szCs w:val="24"/>
              </w:rPr>
              <w:t xml:space="preserve">Необходимость вырезки образца и проведения исследований механических свойств, микроструктуры, химического состава металла определяется экспертом, проводящим экспертизу, и согласовывается с Заказчиком.</w:t>
            </w:r>
            <w:r>
              <w:rPr>
                <w:i w:val="0"/>
                <w:iCs w:val="0"/>
                <w:color w:val="auto"/>
              </w:rPr>
            </w:r>
          </w:p>
          <w:p>
            <w:pPr>
              <w:pStyle w:val="631"/>
              <w:contextualSpacing/>
              <w:jc w:val="both"/>
              <w:spacing w:before="0" w:after="200"/>
              <w:widowControl w:val="off"/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4"/>
                <w:szCs w:val="24"/>
              </w:rPr>
            </w:r>
          </w:p>
          <w:p>
            <w:pPr>
              <w:pStyle w:val="631"/>
              <w:contextualSpacing/>
              <w:jc w:val="both"/>
              <w:spacing w:before="0" w:after="200"/>
              <w:widowControl w:val="off"/>
              <w:rPr>
                <w:i w:val="0"/>
                <w:iCs w:val="0"/>
                <w:color w:val="auto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4"/>
                <w:szCs w:val="24"/>
              </w:rPr>
              <w:t xml:space="preserve">- Другие виды контроля основного металла и ме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4"/>
                <w:szCs w:val="24"/>
              </w:rPr>
              <w:t xml:space="preserve">талла сварных соединений трубопроводов. Специальные виды контроля (акустикоэмиссионный контроль, вихретоковый, магнитные методы контроля; тепловизионный метод контроля и др.) применяются для оценки технического состояния трубопроводов в следующих случаях: </w:t>
            </w:r>
            <w:r>
              <w:rPr>
                <w:i w:val="0"/>
                <w:iCs w:val="0"/>
                <w:color w:val="auto"/>
              </w:rPr>
            </w:r>
          </w:p>
          <w:p>
            <w:pPr>
              <w:pStyle w:val="631"/>
              <w:contextualSpacing/>
              <w:jc w:val="both"/>
              <w:spacing w:before="0" w:after="200"/>
              <w:widowControl w:val="off"/>
              <w:rPr>
                <w:i w:val="0"/>
                <w:iCs w:val="0"/>
                <w:color w:val="auto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4"/>
                <w:szCs w:val="24"/>
              </w:rPr>
              <w:t xml:space="preserve">- если такой метод контроля предусмотрен для трубопроводов требованиями действующей нормативно-технической или проектной документацией; </w:t>
            </w:r>
            <w:r>
              <w:rPr>
                <w:i w:val="0"/>
                <w:iCs w:val="0"/>
                <w:color w:val="auto"/>
              </w:rPr>
            </w:r>
          </w:p>
          <w:p>
            <w:pPr>
              <w:pStyle w:val="631"/>
              <w:contextualSpacing/>
              <w:jc w:val="both"/>
              <w:spacing w:before="0" w:after="200"/>
              <w:widowControl w:val="off"/>
              <w:rPr>
                <w:i w:val="0"/>
                <w:iCs w:val="0"/>
                <w:color w:val="auto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color w:val="auto"/>
                <w:sz w:val="24"/>
                <w:szCs w:val="24"/>
              </w:rPr>
              <w:t xml:space="preserve">- если возникла необходимость того или иного вида контроля по результатам, полученным при техническом диагностировании. В этом случае вид и объем дополнительного контроля устанавливает эксперт, проводящий диагностирование.</w:t>
            </w:r>
            <w:r>
              <w:rPr>
                <w:i w:val="0"/>
                <w:iCs w:val="0"/>
                <w:color w:val="auto"/>
              </w:rPr>
            </w:r>
          </w:p>
          <w:p>
            <w:pPr>
              <w:pStyle w:val="697"/>
              <w:contextualSpacing/>
              <w:ind w:left="0" w:firstLine="0"/>
              <w:jc w:val="both"/>
              <w:spacing w:before="0" w:after="0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- осуще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ствление гидравлического (пневматического) испытания на прочность и плотность с оформлением и выдачей акта испытания. Испытание оборудования и оформление акта испытаний проводит Заказчик. Исполнитель контролирует проведение испытаний и участвует в приемке.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  <w:p>
            <w:pPr>
              <w:pStyle w:val="697"/>
              <w:contextualSpacing/>
              <w:ind w:left="0" w:firstLine="0"/>
              <w:jc w:val="both"/>
              <w:spacing w:before="0" w:after="0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- Проведение акустико-эмиссионного контроля. АЭ-контроль проводится в обязательном порядке в качестве сопровождающего метода при пневматических испытаниях сосудов. АЭ-контроль проводится на основе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разработанной Исполнителем и согласованной с Заказчиком Программы проведения АЭ-контроля оборудования, работающего под давлением. Программа должна учитывать конструктивные особенности, техническое состояние и условия эксплуатации обследуемого оборудования;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  <w:p>
            <w:pPr>
              <w:pStyle w:val="631"/>
              <w:jc w:val="both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3.2. Обследование строительных конструкций сооружений: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631"/>
              <w:jc w:val="both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обследование несущих конструкций, основания и опорных элементов, элементов ОПС;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631"/>
              <w:jc w:val="both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обследование работоспособности молниезащиты, заземления;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631"/>
              <w:jc w:val="both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color w:val="fd7bf7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осмотр анкерных болтов фундаментов на отсутствие дефектов и проверка их затяжки;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  <w:p>
            <w:pPr>
              <w:pStyle w:val="631"/>
              <w:jc w:val="both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- осмотр схем опирания конструкций, несоответствие площадок опирания сборных конструкций проектным требованиям и отклонения фактических геометрических размеров от проектных;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  <w:p>
            <w:pPr>
              <w:pStyle w:val="631"/>
              <w:jc w:val="both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- определение фактического класса прочности бетона фундаментов;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  <w:p>
            <w:pPr>
              <w:pStyle w:val="631"/>
              <w:jc w:val="both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- определение толщины защитного слоя бетона и диаметра арматуры фундаментов;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  <w:p>
            <w:pPr>
              <w:pStyle w:val="631"/>
              <w:jc w:val="both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- определение марки морозостойкости бетона фундамента ультразвуковым методом для объектов, размещенных вне отапливаемого здания (помещения);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  <w:p>
            <w:pPr>
              <w:pStyle w:val="631"/>
              <w:jc w:val="both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- при обнаружении критических дефектов фундаментов, просадки фундаментов провести исследования грунтов основания полевыми методами контроля (полевое определение характеристик прочности и деформируемости грунтов).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  <w:p>
            <w:pPr>
              <w:pStyle w:val="631"/>
              <w:jc w:val="both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4. Анализ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результатов контроля металла и сварных соединений; анализ результатов исследования структуры и свойств металла и сварных соединений неразрушающими и (или) разрушающими методами; определение эквивалентной температуры эксплуатации труб поверхностей нагрева;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631"/>
              <w:jc w:val="both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5. Контрольный расчёт на прочность с оценкой при необходимости остаточного (индивидуального) ресурса.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  <w:p>
            <w:pPr>
              <w:pStyle w:val="631"/>
              <w:jc w:val="both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6. Обобщающий анализ результатов обследования и расчётов на прочность с установлением дополнительного назначенного ресурса или срока службы;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631"/>
              <w:jc w:val="both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7. Прогнозирование технического состояния объекта на продлеваемый период, выработка решения о возможности и целесообразности продления срока эксплуатации, определение рабочих параметров дальнейшей безопасной эксплуатации оборудования;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631"/>
              <w:jc w:val="both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8. Разработка отчётных документов (отчётов, актов, протоколов, частных и итогового заключений) по результатам оказанных услуг;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631"/>
              <w:jc w:val="both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9. Разработка регламента технических освидетельствований и технических обслуживаний на срок эксплуатации после окончания назначенного срока службы, если продление срока службы будет признано возможным;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631"/>
              <w:jc w:val="both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10. Обобщение результатов экспертизы, выработка компенсирующих мероприятий для завершения процесса экспертизы;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631"/>
              <w:jc w:val="both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12 Разработка паспортов на оборудование, указанное в Таблице 1.1 (настоящих требований), а также в случае выявления его отсутствия, в ходе оказания услуг.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631"/>
              <w:jc w:val="both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13.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Оформление и выдача Заказчику Заключения экспертизы п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ромышленной безопасности в установленном порядке с выводами о возможности продления срока безопасной эксплуатации ответственных элементов технических устройств не позднее 3-х месяцев с даты начала оказания услуг и оформленных в соответствии с требованиями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действующей нормативно-технической документации Паспортов.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  <w:p>
            <w:pPr>
              <w:pStyle w:val="631"/>
              <w:jc w:val="both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14. Исполнитель обязан провести ЭПБ, неразрушающий контроль и другие виды исследований на основе согласованной с Заказчиком Программы проведения ЭПБ оборудования. Программа должна учитывать конструктивные особен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ности, техническое состояние и условия эксплуатации обследуемого оборудования. В составе ЭПБ оборудования провести диагностирование СППК, непосредственно смонтированных на сосуде, и внутренних подогревателей (змеевиков) емкостей, смонтированных на сосудах.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3173" w:type="dxa"/>
            <w:vMerge w:val="continue"/>
            <w:textDirection w:val="lrTb"/>
            <w:noWrap w:val="false"/>
          </w:tcPr>
          <w:p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2105" w:type="dxa"/>
            <w:textDirection w:val="lrTb"/>
            <w:noWrap w:val="false"/>
          </w:tcPr>
          <w:p>
            <w:pPr>
              <w:pStyle w:val="699"/>
              <w:numPr>
                <w:ilvl w:val="0"/>
                <w:numId w:val="0"/>
              </w:numPr>
              <w:jc w:val="left"/>
              <w:keepNext w:val="0"/>
              <w:spacing w:before="0" w:after="0"/>
              <w:widowControl w:val="off"/>
              <w:rPr>
                <w:b w:val="0"/>
              </w:rPr>
              <w:outlineLvl w:val="2"/>
            </w:pPr>
            <w:r>
              <w:rPr>
                <w:b w:val="0"/>
              </w:rPr>
            </w:r>
            <w:r>
              <w:rPr>
                <w:b w:val="0"/>
              </w:rPr>
            </w:r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899" w:type="dxa"/>
            <w:vAlign w:val="center"/>
            <w:textDirection w:val="lrTb"/>
            <w:noWrap w:val="false"/>
          </w:tcPr>
          <w:p>
            <w:pPr>
              <w:pStyle w:val="697"/>
              <w:numPr>
                <w:ilvl w:val="1"/>
                <w:numId w:val="1"/>
              </w:numPr>
              <w:contextualSpacing/>
              <w:ind w:left="-117" w:firstLine="142"/>
              <w:jc w:val="center"/>
              <w:spacing w:before="60" w:after="60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9413" w:type="dxa"/>
            <w:vAlign w:val="center"/>
            <w:textDirection w:val="lrTb"/>
            <w:noWrap w:val="false"/>
          </w:tcPr>
          <w:p>
            <w:pPr>
              <w:pStyle w:val="631"/>
              <w:spacing w:before="60" w:after="200"/>
              <w:widowControl w:val="o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Требования к применяемым при оказании услуг оборудованию и материалам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3173" w:type="dxa"/>
            <w:vMerge w:val="continue"/>
            <w:textDirection w:val="lrTb"/>
            <w:noWrap w:val="false"/>
          </w:tcPr>
          <w:p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2105" w:type="dxa"/>
            <w:textDirection w:val="lrTb"/>
            <w:noWrap w:val="false"/>
          </w:tcPr>
          <w:p>
            <w:pPr>
              <w:pStyle w:val="631"/>
              <w:jc w:val="center"/>
              <w:keepNext/>
              <w:spacing w:before="60" w:after="60"/>
              <w:widowControl w:val="o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-//-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899" w:type="dxa"/>
            <w:vAlign w:val="center"/>
            <w:textDirection w:val="lrTb"/>
            <w:noWrap w:val="false"/>
          </w:tcPr>
          <w:p>
            <w:pPr>
              <w:pStyle w:val="697"/>
              <w:numPr>
                <w:ilvl w:val="2"/>
                <w:numId w:val="1"/>
              </w:numPr>
              <w:contextualSpacing/>
              <w:ind w:left="1224" w:hanging="1199"/>
              <w:jc w:val="center"/>
              <w:spacing w:before="60" w:after="60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2105" w:type="dxa"/>
            <w:textDirection w:val="lrTb"/>
            <w:noWrap w:val="false"/>
          </w:tcPr>
          <w:p>
            <w:pPr>
              <w:pStyle w:val="631"/>
              <w:jc w:val="both"/>
              <w:spacing w:before="60" w:after="200"/>
              <w:widowControl w:val="off"/>
              <w:tabs>
                <w:tab w:val="left" w:pos="426" w:leader="none"/>
                <w:tab w:val="clear" w:pos="708" w:leader="none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Требования к оборудованию (измерительные средства измерений)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7308" w:type="dxa"/>
            <w:textDirection w:val="lrTb"/>
            <w:noWrap w:val="false"/>
          </w:tcPr>
          <w:p>
            <w:pPr>
              <w:pStyle w:val="631"/>
              <w:jc w:val="both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Наличие оборудования для оказания услуг, требуемых в рамках области аккредитации лаборатории разрушающего контроля и аттестации лаборатории неразрушающего контроля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3173" w:type="dxa"/>
            <w:vMerge w:val="continue"/>
            <w:textDirection w:val="lrTb"/>
            <w:noWrap w:val="false"/>
          </w:tcPr>
          <w:p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2105" w:type="dxa"/>
            <w:textDirection w:val="lrTb"/>
            <w:noWrap w:val="false"/>
          </w:tcPr>
          <w:p>
            <w:pPr>
              <w:pStyle w:val="631"/>
              <w:spacing w:before="60" w:after="200"/>
              <w:widowControl w:val="off"/>
              <w:tabs>
                <w:tab w:val="left" w:pos="426" w:leader="none"/>
                <w:tab w:val="clear" w:pos="708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899" w:type="dxa"/>
            <w:vAlign w:val="center"/>
            <w:textDirection w:val="lrTb"/>
            <w:noWrap w:val="false"/>
          </w:tcPr>
          <w:p>
            <w:pPr>
              <w:pStyle w:val="697"/>
              <w:numPr>
                <w:ilvl w:val="1"/>
                <w:numId w:val="1"/>
              </w:numPr>
              <w:contextualSpacing/>
              <w:ind w:left="-117" w:firstLine="142"/>
              <w:jc w:val="center"/>
              <w:spacing w:before="60" w:after="60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9413" w:type="dxa"/>
            <w:textDirection w:val="lrTb"/>
            <w:noWrap w:val="false"/>
          </w:tcPr>
          <w:p>
            <w:pPr>
              <w:pStyle w:val="631"/>
              <w:widowControl w:val="o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Требования к персоналу исполнителя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3173" w:type="dxa"/>
            <w:vMerge w:val="continue"/>
            <w:textDirection w:val="lrTb"/>
            <w:noWrap w:val="false"/>
          </w:tcPr>
          <w:p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2105" w:type="dxa"/>
            <w:textDirection w:val="lrTb"/>
            <w:noWrap w:val="false"/>
          </w:tcPr>
          <w:p>
            <w:pPr>
              <w:pStyle w:val="631"/>
              <w:jc w:val="center"/>
              <w:keepNext/>
              <w:spacing w:before="60" w:after="60"/>
              <w:widowControl w:val="o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-//-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899" w:type="dxa"/>
            <w:vAlign w:val="center"/>
            <w:textDirection w:val="lrTb"/>
            <w:noWrap w:val="false"/>
          </w:tcPr>
          <w:p>
            <w:pPr>
              <w:pStyle w:val="697"/>
              <w:numPr>
                <w:ilvl w:val="2"/>
                <w:numId w:val="1"/>
              </w:numPr>
              <w:contextualSpacing/>
              <w:ind w:left="1224" w:hanging="1199"/>
              <w:jc w:val="center"/>
              <w:spacing w:before="60" w:after="60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2105" w:type="dxa"/>
            <w:textDirection w:val="lrTb"/>
            <w:noWrap w:val="false"/>
          </w:tcPr>
          <w:p>
            <w:pPr>
              <w:pStyle w:val="631"/>
              <w:spacing w:before="60" w:after="200"/>
              <w:widowControl w:val="off"/>
              <w:tabs>
                <w:tab w:val="left" w:pos="426" w:leader="none"/>
                <w:tab w:val="clear" w:pos="708" w:leader="none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Безопасность оказания услуг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7308" w:type="dxa"/>
            <w:textDirection w:val="lrTb"/>
            <w:noWrap w:val="false"/>
          </w:tcPr>
          <w:p>
            <w:pPr>
              <w:pStyle w:val="631"/>
              <w:jc w:val="both"/>
              <w:widowControl w:val="off"/>
              <w:tabs>
                <w:tab w:val="left" w:pos="426" w:leader="none"/>
                <w:tab w:val="clear" w:pos="708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Работники, привлекаемые к оказанию данных услуг, должны быть обеспечены спецодеждой и средствами ин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дивидуальной защиты. При оказании услуг Исполнитель несёт ответственность за соблюдение Правил техники безопасности при эксплуатации при эксплуатации тепломеханического оборудования электростанций и тепловых сетей, утвержденных заместителем министра Минист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ерства топлива и энергетики РФ 02.04.1997 (РД 34.03.201-97), и других требований ОТ, ТБ, ППБ, промышленной безопасности объектов и охраны окружающей среды. Вывод из эксплуатации объектов для проведения обследования осуществляется представителями Заказчика.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3173" w:type="dxa"/>
            <w:vMerge w:val="continue"/>
            <w:textDirection w:val="lrTb"/>
            <w:noWrap w:val="false"/>
          </w:tcPr>
          <w:p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2105" w:type="dxa"/>
            <w:textDirection w:val="lrTb"/>
            <w:noWrap w:val="false"/>
          </w:tcPr>
          <w:p>
            <w:pPr>
              <w:pStyle w:val="631"/>
              <w:spacing w:before="60" w:after="200"/>
              <w:widowControl w:val="off"/>
              <w:tabs>
                <w:tab w:val="left" w:pos="426" w:leader="none"/>
                <w:tab w:val="clear" w:pos="708" w:leader="none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899" w:type="dxa"/>
            <w:vAlign w:val="center"/>
            <w:textDirection w:val="lrTb"/>
            <w:noWrap w:val="false"/>
          </w:tcPr>
          <w:p>
            <w:pPr>
              <w:pStyle w:val="697"/>
              <w:numPr>
                <w:ilvl w:val="0"/>
                <w:numId w:val="1"/>
              </w:numPr>
              <w:contextualSpacing/>
              <w:jc w:val="center"/>
              <w:spacing w:before="60" w:after="60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9413" w:type="dxa"/>
            <w:vAlign w:val="center"/>
            <w:textDirection w:val="lrTb"/>
            <w:noWrap w:val="false"/>
          </w:tcPr>
          <w:p>
            <w:pPr>
              <w:pStyle w:val="631"/>
              <w:widowControl w:val="off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Требования к результатам у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слуг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3173" w:type="dxa"/>
            <w:vMerge w:val="continue"/>
            <w:textDirection w:val="lrTb"/>
            <w:noWrap w:val="false"/>
          </w:tcPr>
          <w:p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2105" w:type="dxa"/>
            <w:textDirection w:val="lrTb"/>
            <w:noWrap w:val="false"/>
          </w:tcPr>
          <w:p>
            <w:pPr>
              <w:pStyle w:val="631"/>
              <w:jc w:val="center"/>
              <w:keepNext/>
              <w:spacing w:before="60" w:after="60"/>
              <w:widowControl w:val="o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-//-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899" w:type="dxa"/>
            <w:vAlign w:val="center"/>
            <w:textDirection w:val="lrTb"/>
            <w:noWrap w:val="false"/>
          </w:tcPr>
          <w:p>
            <w:pPr>
              <w:pStyle w:val="697"/>
              <w:numPr>
                <w:ilvl w:val="1"/>
                <w:numId w:val="1"/>
              </w:numPr>
              <w:contextualSpacing/>
              <w:ind w:left="-117" w:firstLine="142"/>
              <w:jc w:val="center"/>
              <w:spacing w:before="60" w:after="60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9413" w:type="dxa"/>
            <w:vAlign w:val="center"/>
            <w:textDirection w:val="lrTb"/>
            <w:noWrap w:val="false"/>
          </w:tcPr>
          <w:p>
            <w:pPr>
              <w:pStyle w:val="631"/>
              <w:widowControl w:val="off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Общие требования к результатам услуг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3173" w:type="dxa"/>
            <w:vMerge w:val="continue"/>
            <w:textDirection w:val="lrTb"/>
            <w:noWrap w:val="false"/>
          </w:tcPr>
          <w:p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2105" w:type="dxa"/>
            <w:textDirection w:val="lrTb"/>
            <w:noWrap w:val="false"/>
          </w:tcPr>
          <w:p>
            <w:pPr>
              <w:pStyle w:val="631"/>
              <w:jc w:val="center"/>
              <w:keepNext/>
              <w:spacing w:before="60" w:after="60"/>
              <w:widowControl w:val="o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-//-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899" w:type="dxa"/>
            <w:vAlign w:val="center"/>
            <w:textDirection w:val="lrTb"/>
            <w:noWrap w:val="false"/>
          </w:tcPr>
          <w:p>
            <w:pPr>
              <w:pStyle w:val="697"/>
              <w:numPr>
                <w:ilvl w:val="2"/>
                <w:numId w:val="1"/>
              </w:numPr>
              <w:contextualSpacing/>
              <w:ind w:left="1224" w:hanging="1199"/>
              <w:jc w:val="center"/>
              <w:spacing w:before="60" w:after="60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2105" w:type="dxa"/>
            <w:textDirection w:val="lrTb"/>
            <w:noWrap w:val="false"/>
          </w:tcPr>
          <w:p>
            <w:pPr>
              <w:pStyle w:val="631"/>
              <w:jc w:val="both"/>
              <w:spacing w:before="60" w:after="200"/>
              <w:widowControl w:val="off"/>
              <w:tabs>
                <w:tab w:val="left" w:pos="426" w:leader="none"/>
                <w:tab w:val="clear" w:pos="708" w:leader="none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Результат оказания услуг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7308" w:type="dxa"/>
            <w:textDirection w:val="lrTb"/>
            <w:noWrap w:val="false"/>
          </w:tcPr>
          <w:p>
            <w:pPr>
              <w:pStyle w:val="631"/>
              <w:jc w:val="both"/>
              <w:shd w:val="clear" w:color="auto" w:fill="ffffff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 результатам экспертизы промышленной безопасности (ЭПБ), оформить Заключение ЭПБ и передать его Заказчику, по каждой единице оборудования, указанного в Таблице 1, раздела 2 ТТ.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631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Заключение экспертизы должно содержать: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631"/>
              <w:jc w:val="both"/>
              <w:shd w:val="clear" w:color="auto" w:fill="ffffff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1) титульный лист с указанием наименования заключения экспертизы;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631"/>
              <w:jc w:val="both"/>
              <w:shd w:val="clear" w:color="auto" w:fill="ffffff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2) вводную часть, включающую: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631"/>
              <w:jc w:val="both"/>
              <w:shd w:val="clear" w:color="auto" w:fill="ffffff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указание на конкретные структурные единицы нормативных правовых актов в области промышленной безопасности (пункт, подпункт, часть, статья) на соответствие которым проводится оценка соответствия объекта экспертизы;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631"/>
              <w:jc w:val="both"/>
              <w:shd w:val="clear" w:color="auto" w:fill="ffffff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сведения об экспертной организации (наименование организации, ее организационно-правовая форма, дата выдачи лицензии на деятельность по проведению экспертизы промышленной безопасности, ее номер);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631"/>
              <w:jc w:val="both"/>
              <w:shd w:val="clear" w:color="auto" w:fill="ffffff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сведения об экспертах, принимавших участие в проведении экспертизы (фамилия, имя, отчество (при наличии), регистрационный номер квалификационного удостоверения эксперта);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631"/>
              <w:jc w:val="both"/>
              <w:shd w:val="clear" w:color="auto" w:fill="ffffff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3) наименование объекта экспертизы, на который распространяется действие заключения экспертизы;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631"/>
              <w:jc w:val="both"/>
              <w:shd w:val="clear" w:color="auto" w:fill="ffffff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4) данные о заказчике (наименование организации, ее организационно-правовая форма);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631"/>
              <w:jc w:val="both"/>
              <w:shd w:val="clear" w:color="auto" w:fill="ffffff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5) цель экспертизы;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631"/>
              <w:jc w:val="both"/>
              <w:shd w:val="clear" w:color="auto" w:fill="ffffff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6) сведения о рассмотренных в процессе экспертизы документах с указанием объема материалов,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имеющих шифр, номер, марку или другую индикацию, необходимую для идентификации, сведения об информации автоматизированных систем мониторинга технического состояния технических устройств, зданий и сооружений на опасных производственных объектах экспертизы;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631"/>
              <w:jc w:val="both"/>
              <w:shd w:val="clear" w:color="auto" w:fill="ffffff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7) краткую характеристику и назначение объекта экспертизы;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631"/>
              <w:jc w:val="both"/>
              <w:shd w:val="clear" w:color="auto" w:fill="ffffff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8) результаты проведенной экспертизы со ссылками на конкретные структурные единицы нормативных правовых актов в области промышленной безопасности;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631"/>
              <w:jc w:val="both"/>
              <w:shd w:val="clear" w:color="auto" w:fill="ffffff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9) выводы заключения экспертизы;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631"/>
              <w:jc w:val="both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10) приложения, предусмотренные пунктом 31 приказа Ростехнадзора от 20.10.2020 №420: (акты по результатам проведения технического диагностирования, неразрушающего контроля, разрушающего конт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роля технических устройств, обследования зданий и сооружений составляются и подписываются лицами, проводившими работы, и руководителем проводившей их организации или руководителем организации, проводящей экспертизу, и прикладываются к заключению экспертизы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631"/>
              <w:jc w:val="both"/>
              <w:shd w:val="clear" w:color="auto" w:fill="ffffff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11) сведения о проведенных мероприятиях и о результатах технического диагностирования технических устройств, обследования зданий и сооружений (при их проведении).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631"/>
              <w:jc w:val="both"/>
              <w:shd w:val="clear" w:color="auto" w:fill="ffffff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12) один из следующих выводов о соответствии объекта экспертизы требованиям промышленной безопасности: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631"/>
              <w:jc w:val="both"/>
              <w:shd w:val="clear" w:color="auto" w:fill="ffffff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объект экспертизы соответствует требованиям промышленной безопасности;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631"/>
              <w:jc w:val="both"/>
              <w:shd w:val="clear" w:color="auto" w:fill="ffffff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объект экспертизы не соответствует требованиям промышленной безопасности.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631"/>
              <w:jc w:val="both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13) сведения о расчетных и аналитических процедурах оценки и прогнозирования технического состояни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я объекта экспертизы, включающие определение остаточного ресурса (срока службы) с отражением в выводах заключения экспертизы установленного срока дальнейшей безопасной эксплуатации объекта экспертизы, с указанием условий дальнейшей безопасной эксплуатации.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631"/>
              <w:jc w:val="both"/>
              <w:widowControl w:val="off"/>
              <w:tabs>
                <w:tab w:val="left" w:pos="283" w:leader="none"/>
                <w:tab w:val="clear" w:pos="708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631"/>
              <w:contextualSpacing/>
              <w:spacing w:before="0" w:after="200"/>
              <w:widowControl w:val="off"/>
              <w:tabs>
                <w:tab w:val="left" w:pos="283" w:leader="none"/>
                <w:tab w:val="clear" w:pos="708" w:leader="none"/>
              </w:tabs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/>
                <w:iCs/>
                <w:sz w:val="24"/>
                <w:szCs w:val="24"/>
              </w:rPr>
              <w:t xml:space="preserve">Паспорт оборудования должен включать: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r>
          </w:p>
          <w:p>
            <w:pPr>
              <w:pStyle w:val="631"/>
              <w:ind w:left="20" w:firstLine="0"/>
              <w:widowControl w:val="off"/>
              <w:tabs>
                <w:tab w:val="left" w:pos="283" w:leader="none"/>
                <w:tab w:val="clear" w:pos="708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а) наименование и адрес предприятия-владельца;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631"/>
              <w:ind w:left="20" w:firstLine="0"/>
              <w:widowControl w:val="off"/>
              <w:tabs>
                <w:tab w:val="left" w:pos="283" w:leader="none"/>
                <w:tab w:val="clear" w:pos="708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б) назначение;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631"/>
              <w:ind w:left="20" w:firstLine="0"/>
              <w:widowControl w:val="off"/>
              <w:tabs>
                <w:tab w:val="left" w:pos="283" w:leader="none"/>
                <w:tab w:val="clear" w:pos="708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в) дата изготовления (производства);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631"/>
              <w:ind w:left="20" w:firstLine="0"/>
              <w:widowControl w:val="off"/>
              <w:tabs>
                <w:tab w:val="left" w:pos="283" w:leader="none"/>
                <w:tab w:val="clear" w:pos="708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г) рабочая среда;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631"/>
              <w:ind w:left="20" w:firstLine="0"/>
              <w:widowControl w:val="off"/>
              <w:tabs>
                <w:tab w:val="left" w:pos="283" w:leader="none"/>
                <w:tab w:val="clear" w:pos="708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д) рабочие параметры рабочей среды: давление, МПа (кгс/см2, температура, °C);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631"/>
              <w:ind w:left="20" w:firstLine="0"/>
              <w:widowControl w:val="off"/>
              <w:tabs>
                <w:tab w:val="left" w:pos="283" w:leader="none"/>
                <w:tab w:val="clear" w:pos="708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е) расчётный срок службы;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631"/>
              <w:ind w:left="20" w:firstLine="0"/>
              <w:widowControl w:val="off"/>
              <w:tabs>
                <w:tab w:val="left" w:pos="283" w:leader="none"/>
                <w:tab w:val="clear" w:pos="708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ж) исполнительную схему;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631"/>
              <w:ind w:left="20" w:firstLine="0"/>
              <w:widowControl w:val="off"/>
              <w:tabs>
                <w:tab w:val="left" w:pos="283" w:leader="none"/>
                <w:tab w:val="clear" w:pos="708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з) схемы, чертежи, свидетельства и другие документы на изготовление (производство) и монтаж оборудования (при наличии);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631"/>
              <w:ind w:left="20" w:firstLine="0"/>
              <w:widowControl w:val="off"/>
              <w:tabs>
                <w:tab w:val="left" w:pos="283" w:leader="none"/>
                <w:tab w:val="clear" w:pos="708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и) листы для внесения информации: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631"/>
              <w:ind w:left="20" w:firstLine="0"/>
              <w:widowControl w:val="off"/>
              <w:tabs>
                <w:tab w:val="left" w:pos="283" w:leader="none"/>
                <w:tab w:val="clear" w:pos="708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о назначенном ответственном лице;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631"/>
              <w:ind w:left="20" w:firstLine="0"/>
              <w:widowControl w:val="off"/>
              <w:tabs>
                <w:tab w:val="left" w:pos="283" w:leader="none"/>
                <w:tab w:val="clear" w:pos="708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о ремонтах и реконструкциях трубопровода;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631"/>
              <w:ind w:left="20" w:firstLine="0"/>
              <w:widowControl w:val="off"/>
              <w:tabs>
                <w:tab w:val="left" w:pos="283" w:leader="none"/>
                <w:tab w:val="clear" w:pos="708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о результатах освидетельствования трубопровода.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631"/>
              <w:contextualSpacing/>
              <w:ind w:left="20" w:firstLine="0"/>
              <w:spacing w:before="0" w:after="200"/>
              <w:widowControl w:val="off"/>
              <w:tabs>
                <w:tab w:val="left" w:pos="283" w:leader="none"/>
                <w:tab w:val="clear" w:pos="708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Выполнить паспорт в жестком переплете форматом 210х297 мм.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631"/>
              <w:contextualSpacing/>
              <w:ind w:left="20" w:firstLine="0"/>
              <w:jc w:val="both"/>
              <w:spacing w:before="0" w:after="200"/>
              <w:widowControl w:val="off"/>
              <w:tabs>
                <w:tab w:val="left" w:pos="283" w:leader="none"/>
                <w:tab w:val="clear" w:pos="708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631"/>
              <w:jc w:val="both"/>
              <w:widowControl w:val="off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 результатам оказанных услуг Исполнитель должен представить Заключения экспертизы промышленной безопасности с выводами о возможности продления срока безопасной эксп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луатации, корректирующими мероприятиями по обеспечению безопасной эксплуатации на продлеваемый период с приложением Паспорта на оборудование, указанного в Таблице 1.1 (настоящих требований), а также в случае выявления его отсутствия, в ходе оказания услуг.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3173" w:type="dxa"/>
            <w:vMerge w:val="continue"/>
            <w:textDirection w:val="lrTb"/>
            <w:noWrap w:val="false"/>
          </w:tcPr>
          <w:p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2105" w:type="dxa"/>
            <w:textDirection w:val="lrTb"/>
            <w:noWrap w:val="false"/>
          </w:tcPr>
          <w:p>
            <w:pPr>
              <w:pStyle w:val="699"/>
              <w:numPr>
                <w:ilvl w:val="0"/>
                <w:numId w:val="0"/>
              </w:numPr>
              <w:jc w:val="left"/>
              <w:keepNext w:val="0"/>
              <w:spacing w:before="0" w:after="0"/>
              <w:widowControl w:val="off"/>
              <w:rPr>
                <w:b w:val="0"/>
              </w:rPr>
              <w:outlineLvl w:val="2"/>
            </w:pPr>
            <w:r>
              <w:rPr>
                <w:b w:val="0"/>
              </w:rPr>
            </w:r>
            <w:r>
              <w:rPr>
                <w:b w:val="0"/>
              </w:rPr>
            </w:r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899" w:type="dxa"/>
            <w:vAlign w:val="center"/>
            <w:textDirection w:val="lrTb"/>
            <w:noWrap w:val="false"/>
          </w:tcPr>
          <w:p>
            <w:pPr>
              <w:pStyle w:val="697"/>
              <w:numPr>
                <w:ilvl w:val="1"/>
                <w:numId w:val="1"/>
              </w:numPr>
              <w:contextualSpacing/>
              <w:ind w:left="-117" w:firstLine="142"/>
              <w:jc w:val="center"/>
              <w:spacing w:before="60" w:after="60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9413" w:type="dxa"/>
            <w:vAlign w:val="center"/>
            <w:textDirection w:val="lrTb"/>
            <w:noWrap w:val="false"/>
          </w:tcPr>
          <w:p>
            <w:pPr>
              <w:pStyle w:val="631"/>
              <w:spacing w:before="60" w:after="200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Требования к приемке результата оказания у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слуг</w:t>
            </w:r>
            <w:r>
              <w:rPr>
                <w:rStyle w:val="665"/>
                <w:rFonts w:ascii="Times New Roman" w:hAnsi="Times New Roman" w:eastAsia="Times New Roman" w:cs="Times New Roman"/>
                <w:b w:val="0"/>
                <w:bCs/>
                <w:i w:val="0"/>
                <w:sz w:val="24"/>
                <w:szCs w:val="24"/>
                <w:shd w:val="clear" w:color="auto" w:fill="auto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3173" w:type="dxa"/>
            <w:vMerge w:val="continue"/>
            <w:textDirection w:val="lrTb"/>
            <w:noWrap w:val="false"/>
          </w:tcPr>
          <w:p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2105" w:type="dxa"/>
            <w:textDirection w:val="lrTb"/>
            <w:noWrap w:val="false"/>
          </w:tcPr>
          <w:p>
            <w:pPr>
              <w:pStyle w:val="631"/>
              <w:jc w:val="center"/>
              <w:keepNext/>
              <w:spacing w:before="60" w:after="60"/>
              <w:widowControl w:val="o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-//-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899" w:type="dxa"/>
            <w:vAlign w:val="center"/>
            <w:textDirection w:val="lrTb"/>
            <w:noWrap w:val="false"/>
          </w:tcPr>
          <w:p>
            <w:pPr>
              <w:pStyle w:val="697"/>
              <w:numPr>
                <w:ilvl w:val="2"/>
                <w:numId w:val="1"/>
              </w:numPr>
              <w:contextualSpacing/>
              <w:ind w:left="1224" w:hanging="1199"/>
              <w:jc w:val="center"/>
              <w:spacing w:before="60" w:after="60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2105" w:type="dxa"/>
            <w:textDirection w:val="lrTb"/>
            <w:noWrap w:val="false"/>
          </w:tcPr>
          <w:p>
            <w:pPr>
              <w:pStyle w:val="631"/>
              <w:spacing w:before="60" w:after="200"/>
              <w:widowControl w:val="off"/>
              <w:tabs>
                <w:tab w:val="left" w:pos="426" w:leader="none"/>
                <w:tab w:val="clear" w:pos="708" w:leader="none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Продление срока безопасной эксплуатации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7308" w:type="dxa"/>
            <w:textDirection w:val="lrTb"/>
            <w:noWrap w:val="false"/>
          </w:tcPr>
          <w:p>
            <w:pPr>
              <w:pStyle w:val="631"/>
              <w:jc w:val="both"/>
              <w:widowControl w:val="off"/>
              <w:tabs>
                <w:tab w:val="clear" w:pos="708" w:leader="none"/>
                <w:tab w:val="left" w:pos="70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Согласовывать с Заказчиком программы технического диагностирования по продлению срока безопасной эксплуатации объекта экспертизы; мероприятия и сроки их выполнения по устранению замечаний, выявленных в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ходе проведения экспертизы объекта; Выполнить расчёт остаточного ресурса; Предоставить на рассмотрение Заказчику проект заключения экспертизы промышленной безопасности с продлением срока безопасной эксплуатации по результатам технического диагностирования.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3173" w:type="dxa"/>
            <w:vMerge w:val="continue"/>
            <w:textDirection w:val="lrTb"/>
            <w:noWrap w:val="false"/>
          </w:tcPr>
          <w:p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2105" w:type="dxa"/>
            <w:textDirection w:val="lrTb"/>
            <w:noWrap w:val="false"/>
          </w:tcPr>
          <w:p>
            <w:pPr>
              <w:pStyle w:val="631"/>
              <w:spacing w:before="60" w:after="200"/>
              <w:widowControl w:val="off"/>
              <w:tabs>
                <w:tab w:val="left" w:pos="426" w:leader="none"/>
                <w:tab w:val="clear" w:pos="708" w:leader="none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899" w:type="dxa"/>
            <w:vAlign w:val="center"/>
            <w:textDirection w:val="lrTb"/>
            <w:noWrap w:val="false"/>
          </w:tcPr>
          <w:p>
            <w:pPr>
              <w:pStyle w:val="697"/>
              <w:numPr>
                <w:ilvl w:val="1"/>
                <w:numId w:val="1"/>
              </w:numPr>
              <w:contextualSpacing/>
              <w:ind w:left="-117" w:firstLine="142"/>
              <w:jc w:val="center"/>
              <w:spacing w:before="60" w:after="60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9413" w:type="dxa"/>
            <w:vAlign w:val="center"/>
            <w:textDirection w:val="lrTb"/>
            <w:noWrap w:val="false"/>
          </w:tcPr>
          <w:p>
            <w:pPr>
              <w:pStyle w:val="631"/>
              <w:spacing w:before="60" w:after="200"/>
              <w:widowControl w:val="o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Требования к документации, описывающей результат оказания услуг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3173" w:type="dxa"/>
            <w:vMerge w:val="continue"/>
            <w:textDirection w:val="lrTb"/>
            <w:noWrap w:val="false"/>
          </w:tcPr>
          <w:p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2105" w:type="dxa"/>
            <w:textDirection w:val="lrTb"/>
            <w:noWrap w:val="false"/>
          </w:tcPr>
          <w:p>
            <w:pPr>
              <w:pStyle w:val="631"/>
              <w:jc w:val="center"/>
              <w:keepNext/>
              <w:spacing w:before="60" w:after="60"/>
              <w:widowControl w:val="o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-//-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899" w:type="dxa"/>
            <w:vAlign w:val="center"/>
            <w:textDirection w:val="lrTb"/>
            <w:noWrap w:val="false"/>
          </w:tcPr>
          <w:p>
            <w:pPr>
              <w:pStyle w:val="697"/>
              <w:numPr>
                <w:ilvl w:val="2"/>
                <w:numId w:val="1"/>
              </w:numPr>
              <w:contextualSpacing/>
              <w:ind w:left="1224" w:hanging="1199"/>
              <w:jc w:val="center"/>
              <w:spacing w:before="60" w:after="60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2105" w:type="dxa"/>
            <w:textDirection w:val="lrTb"/>
            <w:noWrap w:val="false"/>
          </w:tcPr>
          <w:p>
            <w:pPr>
              <w:pStyle w:val="631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Требования к оформлению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7308" w:type="dxa"/>
            <w:textDirection w:val="lrTb"/>
            <w:noWrap w:val="false"/>
          </w:tcPr>
          <w:p>
            <w:pPr>
              <w:pStyle w:val="631"/>
              <w:ind w:left="66" w:firstLine="0"/>
              <w:jc w:val="both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Заключение ЭПБ, предоставляется в письменной форме (на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 бумажном носителе), которое подписывается руководителем организации, проводившей экспертизу, и экспертом (экспертами), участвовавшим (участвовавшими) в проведении экспертизы, с приложением электронного носителя (CD-R, CD-RW или DVD-R, DVD-RW дисках), соде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ржащего электронную копию такого заключения экспертизы промышленной безопасности, а также в форме электронного документа, подписанного квалифицированными электронными подписями руководителя организации, проводившей экспертизу, и эксперта (экспертов), участ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вовавшего (участвовавших) в проведении экспертизы для последующего внесения его в реестр заключений экспертизы промышленной безопасности в соответствии с Административным регламентом Федеральной службы по экологическому, технологическому и атомному надзору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 по предоставлению государственной услуги «Внесение заключения экспертизы промышленной безопасности в реестр заключений экспертизы промышленной безопасности, а также исключение сведений из указанного реестра», утв. Приказом Ростехнадзора от 29.01.2025 №30.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3173" w:type="dxa"/>
            <w:vMerge w:val="continue"/>
            <w:textDirection w:val="lrTb"/>
            <w:noWrap w:val="false"/>
          </w:tcPr>
          <w:p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2105" w:type="dxa"/>
            <w:textDirection w:val="lrTb"/>
            <w:noWrap w:val="false"/>
          </w:tcPr>
          <w:p>
            <w:pPr>
              <w:pStyle w:val="631"/>
              <w:spacing w:before="60" w:after="200"/>
              <w:widowControl w:val="off"/>
              <w:tabs>
                <w:tab w:val="left" w:pos="426" w:leader="none"/>
                <w:tab w:val="clear" w:pos="708" w:leader="none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899" w:type="dxa"/>
            <w:vAlign w:val="center"/>
            <w:textDirection w:val="lrTb"/>
            <w:noWrap w:val="false"/>
          </w:tcPr>
          <w:p>
            <w:pPr>
              <w:pStyle w:val="697"/>
              <w:numPr>
                <w:ilvl w:val="0"/>
                <w:numId w:val="1"/>
              </w:numPr>
              <w:contextualSpacing/>
              <w:jc w:val="center"/>
              <w:spacing w:before="60" w:after="60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9413" w:type="dxa"/>
            <w:vAlign w:val="center"/>
            <w:textDirection w:val="lrTb"/>
            <w:noWrap w:val="false"/>
          </w:tcPr>
          <w:p>
            <w:pPr>
              <w:pStyle w:val="631"/>
              <w:keepNext/>
              <w:spacing w:before="60" w:after="60"/>
              <w:widowControl w:val="o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Требования к исполнителю (и соисполнителям) и его обязательствам, влияющим на исполнение договора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3173" w:type="dxa"/>
            <w:vMerge w:val="continue"/>
            <w:textDirection w:val="lrTb"/>
            <w:noWrap w:val="false"/>
          </w:tcPr>
          <w:p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2105" w:type="dxa"/>
            <w:textDirection w:val="lrTb"/>
            <w:noWrap w:val="false"/>
          </w:tcPr>
          <w:p>
            <w:pPr>
              <w:pStyle w:val="631"/>
              <w:jc w:val="center"/>
              <w:keepNext/>
              <w:spacing w:before="60" w:after="60"/>
              <w:widowControl w:val="o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-//-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899" w:type="dxa"/>
            <w:vAlign w:val="center"/>
            <w:textDirection w:val="lrTb"/>
            <w:noWrap w:val="false"/>
          </w:tcPr>
          <w:p>
            <w:pPr>
              <w:pStyle w:val="697"/>
              <w:numPr>
                <w:ilvl w:val="1"/>
                <w:numId w:val="1"/>
              </w:numPr>
              <w:contextualSpacing/>
              <w:ind w:left="0" w:firstLine="0"/>
              <w:jc w:val="center"/>
              <w:spacing w:before="60" w:after="60"/>
              <w:widowControl w:val="o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2105" w:type="dxa"/>
            <w:textDirection w:val="lrTb"/>
            <w:noWrap w:val="false"/>
          </w:tcPr>
          <w:p>
            <w:pPr>
              <w:pStyle w:val="631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Требования к соисполнителям, привлекаемым к оказанию услуг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7308" w:type="dxa"/>
            <w:textDirection w:val="lrTb"/>
            <w:noWrap w:val="false"/>
          </w:tcPr>
          <w:p>
            <w:pPr>
              <w:pStyle w:val="631"/>
              <w:jc w:val="both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В случае привлечения к оказанию услуг соисполнителей, Исполнитель обязан предоставить Заказчику на момент согласования договора документы, подтверждающие соответствие их квалификационного уровня, а так же готовность и возможность оказания ими услуг.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3173" w:type="dxa"/>
            <w:vMerge w:val="continue"/>
            <w:textDirection w:val="lrTb"/>
            <w:noWrap w:val="false"/>
          </w:tcPr>
          <w:p>
            <w:r/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2105" w:type="dxa"/>
            <w:textDirection w:val="lrTb"/>
            <w:noWrap w:val="false"/>
          </w:tcPr>
          <w:p>
            <w:pPr>
              <w:pStyle w:val="699"/>
              <w:numPr>
                <w:ilvl w:val="0"/>
                <w:numId w:val="0"/>
              </w:numPr>
              <w:jc w:val="left"/>
              <w:keepNext w:val="0"/>
              <w:spacing w:before="0" w:after="0"/>
              <w:widowControl w:val="off"/>
              <w:outlineLvl w:val="2"/>
            </w:pPr>
            <w:r/>
            <w:r/>
          </w:p>
        </w:tc>
      </w:tr>
    </w:tbl>
    <w:p>
      <w:pPr>
        <w:pStyle w:val="631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sz w:val="24"/>
          <w:szCs w:val="24"/>
        </w:rPr>
      </w:r>
      <w:r>
        <w:rPr>
          <w:rFonts w:ascii="Times New Roman" w:hAnsi="Times New Roman" w:cs="Times New Roman"/>
          <w:b/>
          <w:bCs/>
          <w:i/>
          <w:sz w:val="24"/>
          <w:szCs w:val="24"/>
        </w:rPr>
      </w:r>
    </w:p>
    <w:p>
      <w:pPr>
        <w:pStyle w:val="631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  <w:sectPr>
          <w:footnotePr/>
          <w:endnotePr/>
          <w:type w:val="nextPage"/>
          <w:pgSz w:w="16838" w:h="11906" w:orient="landscape"/>
          <w:pgMar w:top="851" w:right="567" w:bottom="851" w:left="992" w:header="0" w:footer="0" w:gutter="0"/>
          <w:cols w:num="1" w:sep="0" w:space="1701" w:equalWidth="1"/>
          <w:docGrid w:linePitch="360"/>
          <w:titlePg/>
        </w:sectPr>
      </w:pPr>
      <w:r>
        <w:rPr>
          <w:rFonts w:ascii="Times New Roman" w:hAnsi="Times New Roman" w:cs="Times New Roman"/>
          <w:b/>
          <w:bCs/>
          <w:i/>
          <w:sz w:val="24"/>
          <w:szCs w:val="24"/>
        </w:rPr>
      </w:r>
      <w:r>
        <w:rPr>
          <w:rFonts w:ascii="Times New Roman" w:hAnsi="Times New Roman" w:cs="Times New Roman"/>
          <w:b/>
          <w:bCs/>
          <w:i/>
          <w:sz w:val="24"/>
          <w:szCs w:val="24"/>
        </w:rPr>
      </w:r>
    </w:p>
    <w:p>
      <w:pPr>
        <w:pStyle w:val="632"/>
        <w:ind w:left="357" w:firstLine="210"/>
        <w:spacing w:before="0" w:after="0"/>
        <w:rPr>
          <w:rFonts w:ascii="Times New Roman" w:hAnsi="Times New Roman" w:cs="Times New Roman"/>
          <w:sz w:val="24"/>
          <w:szCs w:val="24"/>
        </w:rPr>
      </w:pPr>
      <w:r/>
      <w:bookmarkStart w:id="5" w:name="undefined_Копия_4"/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3. Требования к документации по ценообразованию на этапе закупки</w:t>
      </w:r>
      <w:bookmarkEnd w:id="5"/>
      <w:r/>
      <w:r>
        <w:rPr>
          <w:rFonts w:ascii="Times New Roman" w:hAnsi="Times New Roman" w:cs="Times New Roman"/>
          <w:sz w:val="24"/>
          <w:szCs w:val="24"/>
        </w:rPr>
      </w:r>
    </w:p>
    <w:p>
      <w:pPr>
        <w:pStyle w:val="631"/>
        <w:ind w:firstLine="708"/>
        <w:jc w:val="both"/>
        <w:keepLines/>
        <w:keepNext/>
        <w:tabs>
          <w:tab w:val="clear" w:pos="708" w:leader="none"/>
          <w:tab w:val="left" w:pos="1134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3.1.</w:t>
        <w:tab/>
        <w:t xml:space="preserve">В обоснование стоимости заявки Участник должен предоставить «Коммерческое предложение» по форме, приведённый в Документации о закупке.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31"/>
        <w:ind w:firstLine="708"/>
        <w:jc w:val="both"/>
        <w:keepLines/>
        <w:keepNext/>
        <w:tabs>
          <w:tab w:val="clear" w:pos="708" w:leader="none"/>
          <w:tab w:val="left" w:pos="1134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3.2.</w:t>
        <w:tab/>
        <w:t xml:space="preserve">В составе предложения участник не предоставляет сметную документацию.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32"/>
        <w:ind w:firstLine="709"/>
        <w:spacing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4. </w:t>
      </w:r>
      <w:bookmarkStart w:id="6" w:name="undefined_Копия_5"/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Требования к документации по ценообразованию на этапе заключения (исполнения) договора</w:t>
      </w:r>
      <w:bookmarkEnd w:id="6"/>
      <w:r/>
      <w:r>
        <w:rPr>
          <w:rFonts w:ascii="Times New Roman" w:hAnsi="Times New Roman" w:cs="Times New Roman"/>
          <w:sz w:val="24"/>
          <w:szCs w:val="24"/>
        </w:rPr>
      </w:r>
    </w:p>
    <w:p>
      <w:pPr>
        <w:pStyle w:val="631"/>
        <w:ind w:firstLine="709"/>
        <w:jc w:val="both"/>
        <w:tabs>
          <w:tab w:val="clear" w:pos="708" w:leader="none"/>
          <w:tab w:val="left" w:pos="1134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4.1.</w:t>
        <w:tab/>
        <w:t xml:space="preserve">Разработка сметной документации осуществляется при заключении и исполнении договора в соответствии со следующими требованиями: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31"/>
        <w:ind w:firstLine="709"/>
        <w:jc w:val="both"/>
        <w:tabs>
          <w:tab w:val="clear" w:pos="708" w:leader="none"/>
          <w:tab w:val="left" w:pos="1134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Для определения сметной стоимости выполняемых работ составляется сметная документация, состоящая из локальных смет, локальных сметных расчетов, сводных сметных расчетов.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31"/>
        <w:ind w:firstLine="709"/>
        <w:jc w:val="both"/>
        <w:tabs>
          <w:tab w:val="clear" w:pos="708" w:leader="none"/>
          <w:tab w:val="left" w:pos="1134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При использовании сборников базисных цен на конкретные виды работ п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риоритетным методом определения текущей стоимости работ является ресурсно-индексный метод. Использование иного метода должно быть согласовано профильными службами с Сметно-договорного отдела АО «ДГК» (далее-СДО) до начала формирования сметной документации.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31"/>
        <w:ind w:firstLine="709"/>
        <w:jc w:val="both"/>
        <w:tabs>
          <w:tab w:val="clear" w:pos="708" w:leader="none"/>
          <w:tab w:val="left" w:pos="1134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При составлении локальных сметных расчетов следует принимать во внимание как рекомендательные письма федеральных и региональных органов ценообразования, так и писем СДО.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31"/>
        <w:ind w:firstLine="709"/>
        <w:jc w:val="both"/>
        <w:tabs>
          <w:tab w:val="clear" w:pos="708" w:leader="none"/>
          <w:tab w:val="left" w:pos="1134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На стадии заключения Договора подрядчик предоставляет смету, составленную на основании следующих справочников: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31"/>
        <w:ind w:firstLine="709"/>
        <w:jc w:val="both"/>
        <w:tabs>
          <w:tab w:val="clear" w:pos="708" w:leader="none"/>
          <w:tab w:val="left" w:pos="1134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- Справочники Базовых цен на работы по ремонту энергетического оборудования (с индексом перевода в текущие цены к=3,6);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31"/>
        <w:ind w:firstLine="709"/>
        <w:jc w:val="both"/>
        <w:tabs>
          <w:tab w:val="clear" w:pos="708" w:leader="none"/>
          <w:tab w:val="left" w:pos="1134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- Прейскуранты на экспериментально-наладочные работы ОРГРЭС (с индексом перевода в текущие цены с учетом деноминации 1997 года к=0,158);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31"/>
        <w:ind w:firstLine="709"/>
        <w:jc w:val="both"/>
        <w:tabs>
          <w:tab w:val="clear" w:pos="708" w:leader="none"/>
          <w:tab w:val="left" w:pos="1134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- Справочники по обследованию и оценке технического состояния ЗиС (с индексами перевода к справочникам уровня 1995 года к=49.96, к уровню цен 2001 года к=6,53).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31"/>
        <w:ind w:firstLine="709"/>
        <w:jc w:val="both"/>
        <w:tabs>
          <w:tab w:val="clear" w:pos="708" w:leader="none"/>
          <w:tab w:val="left" w:pos="1134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- При отсутствии расценок в вышеуказанных справочниках допустимо составление сметного расчета по форме 3П с ценой, соответствующей итоговой сумме заявки.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31"/>
        <w:ind w:firstLine="709"/>
        <w:jc w:val="both"/>
        <w:tabs>
          <w:tab w:val="clear" w:pos="708" w:leader="none"/>
          <w:tab w:val="left" w:pos="1134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Составление сметного расчета по форме 3П (по трудозатратам) на стадии заключения договора участник, признанный победителем по результатам конкурентной процедуры, обязан предоставить справку, заверенную рук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оводителем организации и главным бухгалтером, подтверждающую заработную плату непосредственных исполнителей работ (час или день в соответствии с единицей измерения учтенного в расчете), накладные расходы (в процентах) и размер рентабельности (в процентах).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31"/>
        <w:ind w:firstLine="709"/>
        <w:jc w:val="both"/>
        <w:tabs>
          <w:tab w:val="clear" w:pos="708" w:leader="none"/>
          <w:tab w:val="left" w:pos="1134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Командировочные расходы в случае их учета в сметах определяются по предварительному расчету с расшифровкой затрат на проезд, проживание,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суточные расходы (не более 500 руб./сут.). Заказчик имеет право в период действия договора запросить у Подрядчика копии первичных документов, платёжных поручений, реестры и т.д. для проверки соответствия суммы командировочных расходов фактическим затратам.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32"/>
        <w:ind w:left="357" w:hanging="357"/>
        <w:jc w:val="center"/>
        <w:spacing w:before="0" w:after="0"/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</w:r>
      <w:r>
        <w:rPr>
          <w:rFonts w:ascii="Times New Roman" w:hAnsi="Times New Roman" w:cs="Times New Roman"/>
          <w:b/>
          <w:bCs/>
          <w:caps/>
          <w:sz w:val="24"/>
          <w:szCs w:val="24"/>
        </w:rPr>
      </w:r>
    </w:p>
    <w:p>
      <w:pPr>
        <w:pStyle w:val="632"/>
        <w:ind w:left="357" w:hanging="357"/>
        <w:jc w:val="center"/>
        <w:spacing w:before="0" w:after="0"/>
        <w:rPr>
          <w:rFonts w:ascii="Times New Roman" w:hAnsi="Times New Roman" w:eastAsia="Times New Roman" w:cs="Times New Roman"/>
          <w:b/>
          <w:bCs/>
          <w:iCs/>
          <w:caps/>
          <w:sz w:val="24"/>
          <w:szCs w:val="24"/>
        </w:rPr>
      </w:pPr>
      <w:r/>
      <w:bookmarkStart w:id="7" w:name="undefined_Копия_6"/>
      <w:r>
        <w:rPr>
          <w:rFonts w:ascii="Times New Roman" w:hAnsi="Times New Roman" w:eastAsia="Times New Roman" w:cs="Times New Roman"/>
          <w:b/>
          <w:bCs/>
          <w:iCs/>
          <w:sz w:val="24"/>
          <w:szCs w:val="24"/>
        </w:rPr>
        <w:t xml:space="preserve">5. Приложения</w:t>
      </w:r>
      <w:bookmarkEnd w:id="7"/>
      <w:r/>
      <w:r>
        <w:rPr>
          <w:rFonts w:ascii="Times New Roman" w:hAnsi="Times New Roman" w:eastAsia="Times New Roman" w:cs="Times New Roman"/>
          <w:b/>
          <w:bCs/>
          <w:iCs/>
          <w:caps/>
          <w:sz w:val="24"/>
          <w:szCs w:val="24"/>
        </w:rPr>
      </w:r>
    </w:p>
    <w:p>
      <w:pPr>
        <w:pStyle w:val="631"/>
        <w:ind w:firstLine="709"/>
        <w:jc w:val="both"/>
        <w:tabs>
          <w:tab w:val="clear" w:pos="708" w:leader="none"/>
          <w:tab w:val="left" w:pos="1134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31"/>
        <w:jc w:val="both"/>
        <w:tabs>
          <w:tab w:val="clear" w:pos="708" w:leader="none"/>
          <w:tab w:val="left" w:pos="1134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Приложение №1: Требования к участнику закупки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31"/>
        <w:ind w:firstLine="709"/>
        <w:jc w:val="both"/>
        <w:tabs>
          <w:tab w:val="clear" w:pos="708" w:leader="none"/>
          <w:tab w:val="left" w:pos="1134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31"/>
        <w:ind w:firstLine="709"/>
        <w:jc w:val="both"/>
        <w:tabs>
          <w:tab w:val="clear" w:pos="708" w:leader="none"/>
          <w:tab w:val="left" w:pos="1134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sectPr>
      <w:footnotePr/>
      <w:endnotePr/>
      <w:type w:val="nextPage"/>
      <w:pgSz w:w="11906" w:h="16838" w:orient="portrait"/>
      <w:pgMar w:top="1134" w:right="850" w:bottom="1134" w:left="1701" w:header="0" w:footer="0" w:gutter="0"/>
      <w:cols w:num="1" w:sep="0" w:space="1701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</w:font>
  <w:font w:name="Symbol">
    <w:panose1 w:val="05010000000000000000"/>
  </w:font>
  <w:font w:name="Calibri">
    <w:panose1 w:val="020F0502020204030204"/>
  </w:font>
  <w:font w:name="Times New Roman">
    <w:panose1 w:val="02020603050405020304"/>
  </w:font>
  <w:font w:name="Noto Sans CJK SC">
    <w:panose1 w:val="020B0502040504020204"/>
  </w:font>
  <w:font w:name="Wingdings">
    <w:panose1 w:val="05010000000000000000"/>
  </w:font>
  <w:font w:name="Liberation Sans">
    <w:panose1 w:val="020B0604020202020204"/>
  </w:font>
  <w:font w:name="Arial Unicode MS">
    <w:panose1 w:val="020B0604020202020204"/>
  </w:font>
  <w:font w:name="Arial">
    <w:panose1 w:val="020B060402020202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0" w:leader="none"/>
        </w:tabs>
      </w:pPr>
      <w:rPr>
        <w:b/>
        <w:bCs w:val="0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  <w:tabs>
          <w:tab w:val="num" w:pos="0" w:leader="none"/>
        </w:tabs>
      </w:pPr>
      <w:rPr>
        <w:b w:val="0"/>
        <w:b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  <w:tabs>
          <w:tab w:val="num" w:pos="0" w:leader="none"/>
        </w:tabs>
      </w:pPr>
      <w:rPr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0" w:leader="none"/>
        </w:tabs>
      </w:p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360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  <w:tabs>
          <w:tab w:val="num" w:pos="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  <w:tabs>
          <w:tab w:val="num" w:pos="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  <w:tabs>
          <w:tab w:val="num" w:pos="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  <w:tabs>
          <w:tab w:val="num" w:pos="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  <w:tabs>
          <w:tab w:val="num" w:pos="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  <w:tabs>
          <w:tab w:val="num" w:pos="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  <w:tabs>
          <w:tab w:val="num" w:pos="0" w:leader="none"/>
        </w:tabs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  <w:tabs>
          <w:tab w:val="num" w:pos="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  <w:tabs>
          <w:tab w:val="num" w:pos="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  <w:tabs>
          <w:tab w:val="num" w:pos="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  <w:tabs>
          <w:tab w:val="num" w:pos="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  <w:tabs>
          <w:tab w:val="num" w:pos="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  <w:tabs>
          <w:tab w:val="num" w:pos="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  <w:tabs>
          <w:tab w:val="num" w:pos="0" w:leader="none"/>
        </w:tabs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038" w:hanging="360"/>
        <w:tabs>
          <w:tab w:val="num" w:pos="0" w:leader="none"/>
        </w:tabs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 w:val="false"/>
      <w:suff w:val="tab"/>
      <w:lvlText w:val="%1.%2."/>
      <w:lvlJc w:val="left"/>
      <w:pPr>
        <w:ind w:left="432" w:hanging="432"/>
        <w:tabs>
          <w:tab w:val="num" w:pos="0" w:leader="none"/>
        </w:tabs>
      </w:pPr>
      <w:rPr>
        <w:b/>
        <w:bCs/>
        <w:i w:val="0"/>
        <w:i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  <w:tabs>
          <w:tab w:val="num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0" w:leader="none"/>
        </w:tabs>
      </w:p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0" w:leader="none"/>
        </w:tabs>
      </w:pPr>
      <w:rPr>
        <w:rFonts w:hint="default" w:ascii="Symbol" w:hAnsi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0" w:leader="none"/>
        </w:tabs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0" w:leader="none"/>
        </w:tabs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0" w:leader="none"/>
        </w:tabs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0" w:leader="none"/>
        </w:tabs>
      </w:pPr>
      <w:rPr>
        <w:rFonts w:hint="default" w:ascii="Wingdings" w:hAnsi="Wingdings" w:cs="Wingdings"/>
      </w:rPr>
    </w:lvl>
  </w:abstractNum>
  <w:abstractNum w:abstractNumId="6">
    <w:multiLevelType w:val="hybridMultilevel"/>
    <w:lvl w:ilvl="0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1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autoHyphenation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48">
    <w:name w:val="Table Grid"/>
    <w:basedOn w:val="704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70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70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70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70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70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70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70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70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70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70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148">
    <w:name w:val="List Table 7 Colorful - Accent 2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49">
    <w:name w:val="List Table 7 Colorful - Accent 3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50">
    <w:name w:val="List Table 7 Colorful - Accent 4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51">
    <w:name w:val="List Table 7 Colorful - Accent 5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152">
    <w:name w:val="List Table 7 Colorful - Accent 6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53">
    <w:name w:val="Lined - Accent"/>
    <w:basedOn w:val="70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70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55">
    <w:name w:val="Lined - Accent 2"/>
    <w:basedOn w:val="70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6">
    <w:name w:val="Lined - Accent 3"/>
    <w:basedOn w:val="70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7">
    <w:name w:val="Lined - Accent 4"/>
    <w:basedOn w:val="70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8">
    <w:name w:val="Lined - Accent 5"/>
    <w:basedOn w:val="70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59">
    <w:name w:val="Lined - Accent 6"/>
    <w:basedOn w:val="70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0">
    <w:name w:val="Bordered &amp; Lined - Accent"/>
    <w:basedOn w:val="70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70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62">
    <w:name w:val="Bordered &amp; Lined - Accent 2"/>
    <w:basedOn w:val="70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3">
    <w:name w:val="Bordered &amp; Lined - Accent 3"/>
    <w:basedOn w:val="70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4">
    <w:name w:val="Bordered &amp; Lined - Accent 4"/>
    <w:basedOn w:val="70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5">
    <w:name w:val="Bordered &amp; Lined - Accent 5"/>
    <w:basedOn w:val="70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66">
    <w:name w:val="Bordered &amp; Lined - Accent 6"/>
    <w:basedOn w:val="70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7">
    <w:name w:val="Bordered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70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631" w:default="1">
    <w:name w:val="Normal"/>
    <w:qFormat/>
    <w:pPr>
      <w:jc w:val="left"/>
      <w:spacing w:before="0" w:after="0"/>
      <w:widowControl/>
    </w:pPr>
    <w:rPr>
      <w:rFonts w:ascii="Arial" w:hAnsi="Arial" w:eastAsia="Arial" w:cs="Arial" w:asciiTheme="minorHAnsi" w:hAnsiTheme="minorHAnsi" w:eastAsiaTheme="minorHAnsi" w:cstheme="minorBidi"/>
      <w:color w:val="auto"/>
      <w:sz w:val="22"/>
      <w:szCs w:val="22"/>
      <w:lang w:val="ru-RU" w:eastAsia="en-US" w:bidi="ar-SA"/>
    </w:rPr>
  </w:style>
  <w:style w:type="paragraph" w:styleId="632">
    <w:name w:val="Heading 1"/>
    <w:basedOn w:val="631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633">
    <w:name w:val="Heading 2"/>
    <w:basedOn w:val="631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634">
    <w:name w:val="Heading 3"/>
    <w:basedOn w:val="631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635">
    <w:name w:val="Heading 4"/>
    <w:basedOn w:val="63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36">
    <w:name w:val="Heading 5"/>
    <w:basedOn w:val="631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37">
    <w:name w:val="Heading 6"/>
    <w:basedOn w:val="63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</w:rPr>
  </w:style>
  <w:style w:type="paragraph" w:styleId="638">
    <w:name w:val="Heading 7"/>
    <w:basedOn w:val="631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</w:rPr>
  </w:style>
  <w:style w:type="paragraph" w:styleId="639">
    <w:name w:val="Heading 8"/>
    <w:basedOn w:val="63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</w:rPr>
  </w:style>
  <w:style w:type="paragraph" w:styleId="640">
    <w:name w:val="Heading 9"/>
    <w:basedOn w:val="63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41" w:default="1">
    <w:name w:val="Default Paragraph Font"/>
    <w:uiPriority w:val="1"/>
    <w:unhideWhenUsed/>
    <w:qFormat/>
  </w:style>
  <w:style w:type="character" w:styleId="642" w:customStyle="1">
    <w:name w:val="Heading 1 Char"/>
    <w:uiPriority w:val="9"/>
    <w:qFormat/>
    <w:rPr>
      <w:rFonts w:ascii="Arial" w:hAnsi="Arial" w:eastAsia="Arial" w:cs="Arial"/>
      <w:sz w:val="40"/>
      <w:szCs w:val="40"/>
    </w:rPr>
  </w:style>
  <w:style w:type="character" w:styleId="643" w:customStyle="1">
    <w:name w:val="Heading 2 Char"/>
    <w:uiPriority w:val="9"/>
    <w:qFormat/>
    <w:rPr>
      <w:rFonts w:ascii="Arial" w:hAnsi="Arial" w:eastAsia="Arial" w:cs="Arial"/>
      <w:sz w:val="34"/>
    </w:rPr>
  </w:style>
  <w:style w:type="character" w:styleId="644" w:customStyle="1">
    <w:name w:val="Heading 3 Char"/>
    <w:uiPriority w:val="9"/>
    <w:qFormat/>
    <w:rPr>
      <w:rFonts w:ascii="Arial" w:hAnsi="Arial" w:eastAsia="Arial" w:cs="Arial"/>
      <w:sz w:val="30"/>
      <w:szCs w:val="30"/>
    </w:rPr>
  </w:style>
  <w:style w:type="character" w:styleId="645" w:customStyle="1">
    <w:name w:val="Heading 4 Char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646" w:customStyle="1">
    <w:name w:val="Heading 5 Char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647" w:customStyle="1">
    <w:name w:val="Heading 6 Char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648" w:customStyle="1">
    <w:name w:val="Heading 7 Char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649" w:customStyle="1">
    <w:name w:val="Heading 8 Char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650" w:customStyle="1">
    <w:name w:val="Heading 9 Char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651" w:customStyle="1">
    <w:name w:val="Title Char"/>
    <w:uiPriority w:val="10"/>
    <w:qFormat/>
    <w:rPr>
      <w:sz w:val="48"/>
      <w:szCs w:val="48"/>
    </w:rPr>
  </w:style>
  <w:style w:type="character" w:styleId="652" w:customStyle="1">
    <w:name w:val="Subtitle Char"/>
    <w:uiPriority w:val="11"/>
    <w:qFormat/>
    <w:rPr>
      <w:sz w:val="24"/>
      <w:szCs w:val="24"/>
    </w:rPr>
  </w:style>
  <w:style w:type="character" w:styleId="653" w:customStyle="1">
    <w:name w:val="Quote Char"/>
    <w:uiPriority w:val="29"/>
    <w:qFormat/>
    <w:rPr>
      <w:i/>
    </w:rPr>
  </w:style>
  <w:style w:type="character" w:styleId="654" w:customStyle="1">
    <w:name w:val="Intense Quote Char"/>
    <w:uiPriority w:val="30"/>
    <w:qFormat/>
    <w:rPr>
      <w:i/>
    </w:rPr>
  </w:style>
  <w:style w:type="character" w:styleId="655" w:customStyle="1">
    <w:name w:val="Header Char"/>
    <w:uiPriority w:val="99"/>
    <w:qFormat/>
  </w:style>
  <w:style w:type="character" w:styleId="656" w:customStyle="1">
    <w:name w:val="Footer Char"/>
    <w:uiPriority w:val="99"/>
    <w:qFormat/>
  </w:style>
  <w:style w:type="character" w:styleId="657" w:customStyle="1">
    <w:name w:val="Caption Char"/>
    <w:uiPriority w:val="99"/>
    <w:qFormat/>
  </w:style>
  <w:style w:type="character" w:styleId="658">
    <w:name w:val="Hyperlink"/>
    <w:uiPriority w:val="99"/>
    <w:unhideWhenUsed/>
    <w:rPr>
      <w:color w:val="0563c1" w:themeColor="hyperlink"/>
      <w:u w:val="single"/>
    </w:rPr>
  </w:style>
  <w:style w:type="character" w:styleId="659" w:customStyle="1">
    <w:name w:val="Footnote Text Char"/>
    <w:uiPriority w:val="99"/>
    <w:qFormat/>
    <w:rPr>
      <w:sz w:val="18"/>
    </w:rPr>
  </w:style>
  <w:style w:type="character" w:styleId="660" w:customStyle="1">
    <w:name w:val="Символ сноски"/>
    <w:uiPriority w:val="99"/>
    <w:unhideWhenUsed/>
    <w:qFormat/>
    <w:rPr>
      <w:vertAlign w:val="superscript"/>
    </w:rPr>
  </w:style>
  <w:style w:type="character" w:styleId="661">
    <w:name w:val="footnote reference"/>
    <w:rPr>
      <w:vertAlign w:val="superscript"/>
    </w:rPr>
  </w:style>
  <w:style w:type="character" w:styleId="662" w:customStyle="1">
    <w:name w:val="Endnote Text Char"/>
    <w:uiPriority w:val="99"/>
    <w:qFormat/>
    <w:rPr>
      <w:sz w:val="20"/>
    </w:rPr>
  </w:style>
  <w:style w:type="character" w:styleId="663" w:customStyle="1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664">
    <w:name w:val="endnote reference"/>
    <w:rPr>
      <w:vertAlign w:val="superscript"/>
    </w:rPr>
  </w:style>
  <w:style w:type="character" w:styleId="665" w:customStyle="1">
    <w:name w:val="комментарий"/>
    <w:qFormat/>
    <w:rPr>
      <w:b/>
      <w:i/>
      <w:shd w:val="clear" w:color="auto" w:fill="ffff99"/>
    </w:rPr>
  </w:style>
  <w:style w:type="character" w:styleId="666" w:customStyle="1">
    <w:name w:val="Ссылка указателя"/>
    <w:qFormat/>
  </w:style>
  <w:style w:type="character" w:styleId="667" w:customStyle="1">
    <w:name w:val="Абзац списка Знак"/>
    <w:link w:val="697"/>
    <w:uiPriority w:val="34"/>
    <w:qFormat/>
  </w:style>
  <w:style w:type="paragraph" w:styleId="668">
    <w:name w:val="Заголовок"/>
    <w:basedOn w:val="631"/>
    <w:next w:val="669"/>
    <w:qFormat/>
    <w:pPr>
      <w:keepNext/>
      <w:spacing w:before="240" w:after="120"/>
    </w:pPr>
    <w:rPr>
      <w:rFonts w:ascii="Liberation Sans" w:hAnsi="Liberation Sans" w:eastAsia="Noto Sans CJK SC" w:cs="Arial Unicode MS"/>
      <w:sz w:val="28"/>
      <w:szCs w:val="28"/>
    </w:rPr>
  </w:style>
  <w:style w:type="paragraph" w:styleId="669">
    <w:name w:val="Body Text"/>
    <w:basedOn w:val="631"/>
    <w:pPr>
      <w:spacing w:before="0" w:after="140" w:line="276" w:lineRule="auto"/>
    </w:pPr>
  </w:style>
  <w:style w:type="paragraph" w:styleId="670">
    <w:name w:val="List"/>
    <w:basedOn w:val="669"/>
    <w:rPr>
      <w:rFonts w:cs="Arial Unicode MS"/>
    </w:rPr>
  </w:style>
  <w:style w:type="paragraph" w:styleId="671">
    <w:name w:val="Caption"/>
    <w:basedOn w:val="631"/>
    <w:qFormat/>
    <w:pPr>
      <w:spacing w:before="120" w:after="120"/>
      <w:suppressLineNumbers/>
    </w:pPr>
    <w:rPr>
      <w:rFonts w:cs="Arial Unicode MS"/>
      <w:i/>
      <w:iCs/>
      <w:sz w:val="24"/>
      <w:szCs w:val="24"/>
    </w:rPr>
  </w:style>
  <w:style w:type="paragraph" w:styleId="672">
    <w:name w:val="Указатель"/>
    <w:basedOn w:val="631"/>
    <w:qFormat/>
    <w:pPr>
      <w:suppressLineNumbers/>
    </w:pPr>
    <w:rPr>
      <w:rFonts w:cs="Arial Unicode MS"/>
    </w:rPr>
  </w:style>
  <w:style w:type="paragraph" w:styleId="673">
    <w:name w:val="Title"/>
    <w:basedOn w:val="631"/>
    <w:next w:val="669"/>
    <w:uiPriority w:val="10"/>
    <w:qFormat/>
    <w:pPr>
      <w:contextualSpacing/>
      <w:spacing w:before="300" w:after="200"/>
    </w:pPr>
    <w:rPr>
      <w:sz w:val="48"/>
      <w:szCs w:val="48"/>
    </w:rPr>
  </w:style>
  <w:style w:type="paragraph" w:styleId="674">
    <w:name w:val="caption1"/>
    <w:basedOn w:val="631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paragraph" w:styleId="675">
    <w:name w:val="index heading1"/>
    <w:basedOn w:val="673"/>
    <w:qFormat/>
  </w:style>
  <w:style w:type="paragraph" w:styleId="676">
    <w:name w:val="Subtitle"/>
    <w:basedOn w:val="631"/>
    <w:uiPriority w:val="11"/>
    <w:qFormat/>
    <w:pPr>
      <w:spacing w:before="200" w:after="200"/>
    </w:pPr>
    <w:rPr>
      <w:sz w:val="24"/>
      <w:szCs w:val="24"/>
    </w:rPr>
  </w:style>
  <w:style w:type="paragraph" w:styleId="677">
    <w:name w:val="Quote"/>
    <w:basedOn w:val="631"/>
    <w:uiPriority w:val="29"/>
    <w:qFormat/>
    <w:pPr>
      <w:ind w:left="720" w:right="720" w:firstLine="0"/>
    </w:pPr>
    <w:rPr>
      <w:i/>
    </w:rPr>
  </w:style>
  <w:style w:type="paragraph" w:styleId="678">
    <w:name w:val="Intense Quote"/>
    <w:basedOn w:val="631"/>
    <w:uiPriority w:val="30"/>
    <w:qFormat/>
    <w:pPr>
      <w:ind w:left="720" w:right="720" w:firstLine="0"/>
      <w:spacing w:before="0" w:after="20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paragraph" w:styleId="679" w:customStyle="1">
    <w:name w:val="Колонтитул"/>
    <w:basedOn w:val="631"/>
    <w:qFormat/>
  </w:style>
  <w:style w:type="paragraph" w:styleId="680">
    <w:name w:val="Header"/>
    <w:basedOn w:val="631"/>
    <w:uiPriority w:val="99"/>
    <w:unhideWhenUsed/>
    <w:pPr>
      <w:tabs>
        <w:tab w:val="clear" w:pos="708" w:leader="none"/>
        <w:tab w:val="center" w:pos="7143" w:leader="none"/>
        <w:tab w:val="right" w:pos="14287" w:leader="none"/>
      </w:tabs>
    </w:pPr>
  </w:style>
  <w:style w:type="paragraph" w:styleId="681">
    <w:name w:val="Footer"/>
    <w:basedOn w:val="631"/>
    <w:uiPriority w:val="99"/>
    <w:unhideWhenUsed/>
    <w:pPr>
      <w:tabs>
        <w:tab w:val="clear" w:pos="708" w:leader="none"/>
        <w:tab w:val="center" w:pos="7143" w:leader="none"/>
        <w:tab w:val="right" w:pos="14287" w:leader="none"/>
      </w:tabs>
    </w:pPr>
  </w:style>
  <w:style w:type="paragraph" w:styleId="682">
    <w:name w:val="footnote text"/>
    <w:basedOn w:val="631"/>
    <w:uiPriority w:val="99"/>
    <w:semiHidden/>
    <w:unhideWhenUsed/>
    <w:pPr>
      <w:spacing w:before="0" w:after="40"/>
    </w:pPr>
    <w:rPr>
      <w:sz w:val="18"/>
    </w:rPr>
  </w:style>
  <w:style w:type="paragraph" w:styleId="683">
    <w:name w:val="endnote text"/>
    <w:basedOn w:val="631"/>
    <w:uiPriority w:val="99"/>
    <w:semiHidden/>
    <w:unhideWhenUsed/>
    <w:rPr>
      <w:sz w:val="20"/>
    </w:rPr>
  </w:style>
  <w:style w:type="paragraph" w:styleId="684">
    <w:name w:val="toc 1"/>
    <w:basedOn w:val="631"/>
    <w:uiPriority w:val="39"/>
    <w:unhideWhenUsed/>
    <w:pPr>
      <w:spacing w:before="0" w:after="57"/>
    </w:pPr>
  </w:style>
  <w:style w:type="paragraph" w:styleId="685">
    <w:name w:val="toc 2"/>
    <w:basedOn w:val="631"/>
    <w:uiPriority w:val="39"/>
    <w:unhideWhenUsed/>
    <w:pPr>
      <w:ind w:left="283" w:firstLine="0"/>
      <w:spacing w:before="0" w:after="57"/>
    </w:pPr>
  </w:style>
  <w:style w:type="paragraph" w:styleId="686">
    <w:name w:val="toc 3"/>
    <w:basedOn w:val="631"/>
    <w:uiPriority w:val="39"/>
    <w:unhideWhenUsed/>
    <w:pPr>
      <w:ind w:left="567" w:firstLine="0"/>
      <w:spacing w:before="0" w:after="57"/>
    </w:pPr>
  </w:style>
  <w:style w:type="paragraph" w:styleId="687">
    <w:name w:val="toc 4"/>
    <w:basedOn w:val="631"/>
    <w:uiPriority w:val="39"/>
    <w:unhideWhenUsed/>
    <w:pPr>
      <w:ind w:left="850" w:firstLine="0"/>
      <w:spacing w:before="0" w:after="57"/>
    </w:pPr>
  </w:style>
  <w:style w:type="paragraph" w:styleId="688">
    <w:name w:val="toc 5"/>
    <w:basedOn w:val="631"/>
    <w:uiPriority w:val="39"/>
    <w:unhideWhenUsed/>
    <w:pPr>
      <w:ind w:left="1134" w:firstLine="0"/>
      <w:spacing w:before="0" w:after="57"/>
    </w:pPr>
  </w:style>
  <w:style w:type="paragraph" w:styleId="689">
    <w:name w:val="toc 6"/>
    <w:basedOn w:val="631"/>
    <w:uiPriority w:val="39"/>
    <w:unhideWhenUsed/>
    <w:pPr>
      <w:ind w:left="1417" w:firstLine="0"/>
      <w:spacing w:before="0" w:after="57"/>
    </w:pPr>
  </w:style>
  <w:style w:type="paragraph" w:styleId="690">
    <w:name w:val="toc 7"/>
    <w:basedOn w:val="631"/>
    <w:uiPriority w:val="39"/>
    <w:unhideWhenUsed/>
    <w:pPr>
      <w:ind w:left="1701" w:firstLine="0"/>
      <w:spacing w:before="0" w:after="57"/>
    </w:pPr>
  </w:style>
  <w:style w:type="paragraph" w:styleId="691">
    <w:name w:val="toc 8"/>
    <w:basedOn w:val="631"/>
    <w:uiPriority w:val="39"/>
    <w:unhideWhenUsed/>
    <w:pPr>
      <w:ind w:left="1984" w:firstLine="0"/>
      <w:spacing w:before="0" w:after="57"/>
    </w:pPr>
  </w:style>
  <w:style w:type="paragraph" w:styleId="692">
    <w:name w:val="toc 9"/>
    <w:basedOn w:val="631"/>
    <w:uiPriority w:val="39"/>
    <w:unhideWhenUsed/>
    <w:pPr>
      <w:ind w:left="2268" w:firstLine="0"/>
      <w:spacing w:before="0" w:after="57"/>
    </w:pPr>
  </w:style>
  <w:style w:type="paragraph" w:styleId="693">
    <w:name w:val="Index Heading"/>
    <w:basedOn w:val="668"/>
  </w:style>
  <w:style w:type="paragraph" w:styleId="694">
    <w:name w:val="TOC Heading"/>
    <w:uiPriority w:val="39"/>
    <w:unhideWhenUsed/>
    <w:qFormat/>
    <w:pPr>
      <w:jc w:val="left"/>
      <w:spacing w:before="0" w:after="200" w:line="276" w:lineRule="auto"/>
      <w:widowControl/>
    </w:pPr>
    <w:rPr>
      <w:rFonts w:ascii="Arial" w:hAnsi="Arial" w:eastAsia="Arial" w:cs="Arial" w:asciiTheme="minorHAnsi" w:hAnsiTheme="minorHAnsi" w:eastAsiaTheme="minorHAnsi" w:cstheme="minorBidi"/>
      <w:color w:val="auto"/>
      <w:sz w:val="22"/>
      <w:szCs w:val="22"/>
      <w:lang w:val="ru-RU" w:eastAsia="en-US" w:bidi="ar-SA"/>
    </w:rPr>
  </w:style>
  <w:style w:type="paragraph" w:styleId="695">
    <w:name w:val="table of figures"/>
    <w:basedOn w:val="631"/>
    <w:uiPriority w:val="99"/>
    <w:unhideWhenUsed/>
    <w:qFormat/>
  </w:style>
  <w:style w:type="paragraph" w:styleId="696">
    <w:name w:val="No Spacing"/>
    <w:basedOn w:val="631"/>
    <w:uiPriority w:val="1"/>
    <w:qFormat/>
  </w:style>
  <w:style w:type="paragraph" w:styleId="697">
    <w:name w:val="List Paragraph"/>
    <w:basedOn w:val="631"/>
    <w:link w:val="667"/>
    <w:uiPriority w:val="34"/>
    <w:qFormat/>
    <w:pPr>
      <w:contextualSpacing/>
      <w:ind w:left="720" w:firstLine="0"/>
      <w:spacing w:before="0" w:after="200"/>
    </w:pPr>
  </w:style>
  <w:style w:type="paragraph" w:styleId="698" w:customStyle="1">
    <w:name w:val="Таблица шапка"/>
    <w:qFormat/>
    <w:pPr>
      <w:ind w:left="57" w:right="57" w:firstLine="0"/>
      <w:jc w:val="left"/>
      <w:keepNext/>
      <w:spacing w:before="40" w:after="40"/>
      <w:widowControl/>
    </w:pPr>
    <w:rPr>
      <w:rFonts w:ascii="Times New Roman" w:hAnsi="Times New Roman" w:eastAsia="Times New Roman" w:cs="Times New Roman"/>
      <w:color w:val="auto"/>
      <w:sz w:val="22"/>
      <w:szCs w:val="26"/>
      <w:lang w:val="ru-RU" w:eastAsia="ru-RU" w:bidi="ar-SA"/>
    </w:rPr>
  </w:style>
  <w:style w:type="paragraph" w:styleId="699" w:customStyle="1">
    <w:name w:val="Таблица"/>
    <w:qFormat/>
    <w:pPr>
      <w:jc w:val="center"/>
      <w:keepNext/>
      <w:spacing w:before="60" w:after="60"/>
      <w:widowControl/>
    </w:pPr>
    <w:rPr>
      <w:rFonts w:ascii="Times New Roman" w:hAnsi="Times New Roman" w:eastAsia="Calibri" w:cs="Times New Roman"/>
      <w:b/>
      <w:color w:val="auto"/>
      <w:sz w:val="24"/>
      <w:szCs w:val="24"/>
      <w:lang w:val="ru-RU" w:eastAsia="ru-RU" w:bidi="ar-SA"/>
    </w:rPr>
  </w:style>
  <w:style w:type="paragraph" w:styleId="700" w:customStyle="1">
    <w:name w:val="Содержимое таблицы"/>
    <w:basedOn w:val="631"/>
    <w:qFormat/>
    <w:pPr>
      <w:widowControl w:val="off"/>
      <w:suppressLineNumbers/>
    </w:pPr>
  </w:style>
  <w:style w:type="paragraph" w:styleId="701" w:customStyle="1">
    <w:name w:val="Заголовок таблицы"/>
    <w:basedOn w:val="700"/>
    <w:qFormat/>
    <w:pPr>
      <w:jc w:val="center"/>
    </w:pPr>
    <w:rPr>
      <w:b/>
      <w:bCs/>
    </w:rPr>
  </w:style>
  <w:style w:type="paragraph" w:styleId="702" w:customStyle="1">
    <w:name w:val="headertext"/>
    <w:basedOn w:val="631"/>
    <w:qFormat/>
    <w:pPr>
      <w:spacing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numbering" w:styleId="703" w:default="1">
    <w:name w:val="No List"/>
    <w:uiPriority w:val="99"/>
    <w:semiHidden/>
    <w:unhideWhenUsed/>
    <w:qFormat/>
  </w:style>
  <w:style w:type="table" w:styleId="704" w:default="1">
    <w:name w:val="Normal Table"/>
    <w:uiPriority w:val="99"/>
    <w:semiHidden/>
    <w:unhideWhenUsed/>
    <w:tblPr>
      <w:tblCellMar>
        <w:left w:w="108" w:type="dxa"/>
        <w:top w:w="0" w:type="dxa"/>
        <w:right w:w="108" w:type="dxa"/>
        <w:bottom w:w="0" w:type="dxa"/>
      </w:tblCellMar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dc:language>ru-RU</dc:language>
  <cp:lastModifiedBy>nikitina_nv</cp:lastModifiedBy>
  <cp:revision>17</cp:revision>
  <dcterms:created xsi:type="dcterms:W3CDTF">2026-06-29T01:03:00Z</dcterms:created>
  <dcterms:modified xsi:type="dcterms:W3CDTF">2026-07-09T00:51:05Z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